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EF01" w14:textId="5CF75A97" w:rsidR="001C6147" w:rsidRPr="0012352D" w:rsidRDefault="001C6147" w:rsidP="0012352D">
      <w:pPr>
        <w:suppressAutoHyphens/>
        <w:spacing w:after="120" w:line="360" w:lineRule="auto"/>
        <w:jc w:val="center"/>
        <w:rPr>
          <w:rFonts w:ascii="Times New Roman" w:eastAsia="Times New Roman" w:hAnsi="Times New Roman" w:cs="Times New Roman"/>
          <w:kern w:val="0"/>
          <w:sz w:val="24"/>
          <w:szCs w:val="24"/>
          <w:lang w:eastAsia="pl-PL"/>
          <w14:ligatures w14:val="none"/>
        </w:rPr>
      </w:pPr>
      <w:r w:rsidRPr="0012352D">
        <w:rPr>
          <w:rFonts w:ascii="Times New Roman" w:eastAsia="Times New Roman" w:hAnsi="Times New Roman" w:cs="Times New Roman"/>
          <w:kern w:val="0"/>
          <w:sz w:val="24"/>
          <w:szCs w:val="24"/>
          <w:lang w:eastAsia="pl-PL"/>
          <w14:ligatures w14:val="none"/>
        </w:rPr>
        <w:t>UZASADNIENIE</w:t>
      </w:r>
    </w:p>
    <w:p w14:paraId="215DE064" w14:textId="01C8EF65"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 ustawy o zmianie ustawy – Prawo farmaceutyczne ma na celu uchylenie całkowitego zakazu reklamy aptek i punktów aptecznych zawartego w art. 94a ustawy z dnia 6 września 2001 r. – Prawo farmaceutyczne (Dz. U. z 2026 r. poz. 612, z późn. zm.), zwanej dalej „Prawem farmaceutycznym”, oraz określenie zasad prowadzenia reklamy apteki lub punktu aptecznego.</w:t>
      </w:r>
    </w:p>
    <w:p w14:paraId="29762CCE"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Całkowity zakaz reklamy aptek i punktów aptecznych zawarty w Prawie farmaceutycznym obowiązuje w niezmienionym kształcie od dnia 1 stycznia 2012 r.</w:t>
      </w:r>
    </w:p>
    <w:p w14:paraId="35A19176"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 2013 r. na obowiązujący ww. zakaz reklamy została złożona skarga na Rzeczpospolitą Polską do Komisji Europejskiej. Skargę tę Komisja uznała za uzasadnioną, oceniając zakaz reklamy za sprzeczny z prawem Unii Europejskiej – tak pierwotnym (traktatowym), jak i wtórnym (dyrektywami) i w marcu 2024 r. skierowała tę skargę do Trybunału Sprawiedliwości Unii Europejskiej (TSUE).</w:t>
      </w:r>
    </w:p>
    <w:p w14:paraId="12561F4E" w14:textId="185B4DAA"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 dniu 19 czerwca 2025 r. TSUE w wyroku w sprawie C-200/2024 orzekł, że analizowany zakaz w istocie narusza prawo Unii Europejskiej, w szczególności będące przedmiotem ww. skargi przepisy Prawa farmaceutycznego naruszają zakaz ograniczania swobody przedsiębiorczości (art. 49 Traktatu o Funkcjonowaniu Unii Europejskiej – TFUE) i świadczenia usług (art. 56 TFUE), a także art. 8 ust. 1 dyrektywy 2000/31/WE Parlamentu Europejskiego i Rady z dnia 8 czerwca 2000 r. w sprawie niektórych aspektów prawnych usług społeczeństwa informacyjnego, w szczególności handlu elektronicznego w ramach rynku wewnętrznego (dyrektywa o handlu elektronicznym) (Dz. U</w:t>
      </w:r>
      <w:r w:rsidR="005C5F15">
        <w:rPr>
          <w:rFonts w:ascii="Times New Roman" w:eastAsia="Times New Roman" w:hAnsi="Times New Roman" w:cs="Times New Roman"/>
          <w:bCs/>
          <w:kern w:val="0"/>
          <w:sz w:val="24"/>
          <w:szCs w:val="24"/>
          <w:lang w:eastAsia="pl-PL"/>
          <w14:ligatures w14:val="none"/>
        </w:rPr>
        <w:t>rz</w:t>
      </w:r>
      <w:r w:rsidRPr="0012352D">
        <w:rPr>
          <w:rFonts w:ascii="Times New Roman" w:eastAsia="Times New Roman" w:hAnsi="Times New Roman" w:cs="Times New Roman"/>
          <w:bCs/>
          <w:kern w:val="0"/>
          <w:sz w:val="24"/>
          <w:szCs w:val="24"/>
          <w:lang w:eastAsia="pl-PL"/>
          <w14:ligatures w14:val="none"/>
        </w:rPr>
        <w:t xml:space="preserve">. </w:t>
      </w:r>
      <w:r w:rsidR="006676BE">
        <w:rPr>
          <w:rFonts w:ascii="Times New Roman" w:eastAsia="Times New Roman" w:hAnsi="Times New Roman" w:cs="Times New Roman"/>
          <w:bCs/>
          <w:kern w:val="0"/>
          <w:sz w:val="24"/>
          <w:szCs w:val="24"/>
          <w:lang w:eastAsia="pl-PL"/>
          <w14:ligatures w14:val="none"/>
        </w:rPr>
        <w:t>W</w:t>
      </w:r>
      <w:r w:rsidR="00E55A2E">
        <w:rPr>
          <w:rFonts w:ascii="Times New Roman" w:eastAsia="Times New Roman" w:hAnsi="Times New Roman" w:cs="Times New Roman"/>
          <w:bCs/>
          <w:kern w:val="0"/>
          <w:sz w:val="24"/>
          <w:szCs w:val="24"/>
          <w:lang w:eastAsia="pl-PL"/>
          <w14:ligatures w14:val="none"/>
        </w:rPr>
        <w:t xml:space="preserve">E </w:t>
      </w:r>
      <w:r w:rsidRPr="0012352D">
        <w:rPr>
          <w:rFonts w:ascii="Times New Roman" w:eastAsia="Times New Roman" w:hAnsi="Times New Roman" w:cs="Times New Roman"/>
          <w:bCs/>
          <w:kern w:val="0"/>
          <w:sz w:val="24"/>
          <w:szCs w:val="24"/>
          <w:lang w:eastAsia="pl-PL"/>
          <w14:ligatures w14:val="none"/>
        </w:rPr>
        <w:t>L 178 z 17.</w:t>
      </w:r>
      <w:r w:rsidR="005C5F15">
        <w:rPr>
          <w:rFonts w:ascii="Times New Roman" w:eastAsia="Times New Roman" w:hAnsi="Times New Roman" w:cs="Times New Roman"/>
          <w:bCs/>
          <w:kern w:val="0"/>
          <w:sz w:val="24"/>
          <w:szCs w:val="24"/>
          <w:lang w:eastAsia="pl-PL"/>
          <w14:ligatures w14:val="none"/>
        </w:rPr>
        <w:t>0</w:t>
      </w:r>
      <w:r w:rsidRPr="0012352D">
        <w:rPr>
          <w:rFonts w:ascii="Times New Roman" w:eastAsia="Times New Roman" w:hAnsi="Times New Roman" w:cs="Times New Roman"/>
          <w:bCs/>
          <w:kern w:val="0"/>
          <w:sz w:val="24"/>
          <w:szCs w:val="24"/>
          <w:lang w:eastAsia="pl-PL"/>
          <w14:ligatures w14:val="none"/>
        </w:rPr>
        <w:t>7.2000, s</w:t>
      </w:r>
      <w:r w:rsidR="005C5F15">
        <w:rPr>
          <w:rFonts w:ascii="Times New Roman" w:eastAsia="Times New Roman" w:hAnsi="Times New Roman" w:cs="Times New Roman"/>
          <w:bCs/>
          <w:kern w:val="0"/>
          <w:sz w:val="24"/>
          <w:szCs w:val="24"/>
          <w:lang w:eastAsia="pl-PL"/>
          <w14:ligatures w14:val="none"/>
        </w:rPr>
        <w:t>tr</w:t>
      </w:r>
      <w:r w:rsidRPr="0012352D">
        <w:rPr>
          <w:rFonts w:ascii="Times New Roman" w:eastAsia="Times New Roman" w:hAnsi="Times New Roman" w:cs="Times New Roman"/>
          <w:bCs/>
          <w:kern w:val="0"/>
          <w:sz w:val="24"/>
          <w:szCs w:val="24"/>
          <w:lang w:eastAsia="pl-PL"/>
          <w14:ligatures w14:val="none"/>
        </w:rPr>
        <w:t>. 1</w:t>
      </w:r>
      <w:r w:rsidR="006676BE">
        <w:t xml:space="preserve">- </w:t>
      </w:r>
      <w:r w:rsidR="006676BE" w:rsidRPr="0012352D">
        <w:rPr>
          <w:rFonts w:ascii="Times New Roman" w:hAnsi="Times New Roman" w:cs="Times New Roman"/>
          <w:sz w:val="24"/>
          <w:szCs w:val="24"/>
        </w:rPr>
        <w:t>Dz. Urz. UE Polskie wydanie specjalne, rozdz. 13, t. 25, str. 399</w:t>
      </w:r>
      <w:r w:rsidRPr="0012352D">
        <w:rPr>
          <w:rFonts w:ascii="Times New Roman" w:eastAsia="Times New Roman" w:hAnsi="Times New Roman" w:cs="Times New Roman"/>
          <w:bCs/>
          <w:kern w:val="0"/>
          <w:sz w:val="24"/>
          <w:szCs w:val="24"/>
          <w:lang w:eastAsia="pl-PL"/>
          <w14:ligatures w14:val="none"/>
        </w:rPr>
        <w:t>), który to przepis dotyczy usług społeczeństwa informacyjnego świadczonych przez przedstawicieli zawodów regulowanych.</w:t>
      </w:r>
    </w:p>
    <w:p w14:paraId="0CFBB919"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Przedmiotowy projekt ustawy ma na celu usunięcie tego naruszenia i zapewnienie zgodności art. 94a Prawa farmaceutycznego z art. 8 ust. 1 dyrektywy o handlu elektronicznym.</w:t>
      </w:r>
    </w:p>
    <w:p w14:paraId="2FF8ABAE"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Realizując ocenę przedstawioną w wyroku TSUE, proponuje się doprowadzenie do zgodności przepisów prawa krajowego z prawem Unii Europejskiej drogą pozytywnego sformułowania normy prawnej pozwalającej na prowadzenie reklamy przy jednoczesnym wprowadzeniu ograniczeń uniemożliwiających reklamę wykraczającą poza ustanawiany standard obiektywizmu i względnej neutralności przekazu reklamowego.</w:t>
      </w:r>
    </w:p>
    <w:p w14:paraId="71DF0381" w14:textId="77777777" w:rsidR="001C6147" w:rsidRPr="0012352D" w:rsidRDefault="001C6147" w:rsidP="0012352D">
      <w:pPr>
        <w:keepNext/>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Wprowadzono w projekcie definicję reklamy aptek i punktów aptecznych w brzmieniu:</w:t>
      </w:r>
    </w:p>
    <w:p w14:paraId="13966F24"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„Reklamą apteki lub punktu aptecznego jest działalność polegająca na zachęcaniu do skorzystania z oferty apteki lub punktu aptecznego mająca na celu zwiększenie sprzedaży asortymentu dostępnego w aptece lub punkcie aptecznym, świadczonych w nich usług lub realizowanych w nich świadczeń lub programów wynikających z powszechnie obowiązujących przepisów prawa.”</w:t>
      </w:r>
    </w:p>
    <w:p w14:paraId="0D32748C" w14:textId="213E0E8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Świadczone w aptece usługi, świadczenia i programy określono w odniesieniu do obowiązujących przepisów prawa. Nie jest bowiem możliwe wprowadzenie do definicji reklamy aptek katalogu usług, świadczeń czy programów dostępnych w aptece czy punkcie aptecznym. Do aptek i punktów aptecznych odnoszą się bowiem kategorie zbiorcze (np. usługi farmaceutyczne czy świadczenia zdrowotne) wprost, a inne nie są w ten sposób określane ani kategoryzowane, mimo że funkcjonalnie i ze względu na swój charakter są określonego rodzaju usługami czy świadczeniami.</w:t>
      </w:r>
    </w:p>
    <w:p w14:paraId="63ADE8BD" w14:textId="52772E5F"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Mając na uwadze zawarte w definicji reklamy aptek i punktów aptecznych określenie „asortymentu”</w:t>
      </w:r>
      <w:r w:rsidR="00894286">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należy mieć na uwadze również treść art. 86 ust. 8 Prawa farmaceutycznego, z którego wynika, że w aptekach ogólnodostępnych na wydzielonych stoiskach można sprzedawać produkty określone w art. 72 ust. 5 posiadające wymagane prawem atesty lub zezwolenia, pod warunkiem że ich przechowywanie i sprzedaż nie będą przeszkadzać podstawowej działalności apteki.</w:t>
      </w:r>
    </w:p>
    <w:p w14:paraId="21C6783F" w14:textId="64C0044B"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Podstawowym zadaniem każdej apteki jest realizowanie usług farmaceutycznych, ich katalog przewidziano w ustawie z dnia 10 grudnia 2020 r. o zawodzie farmaceuty (Dz. U. z 2025 r. poz.</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 xml:space="preserve">608). Apteka jest bowiem placówką ochrony zdrowia publicznego, w której osoby uprawnione świadczą w szczególności usługi farmaceutyczne, ale także jest miejscem sprawowania opieki farmaceutycznej i wykonywania określonych zadań zawodowych farmaceuty. Katalog czynności obejmujących opiekę farmaceutyczną, jak i usług farmaceutycznych, został określony w art. 4 ust. 2 i 3 ustawy z dnia 10 grudnia 2020 r. o zawodzie farmaceuty. </w:t>
      </w:r>
    </w:p>
    <w:p w14:paraId="55FFDDB4" w14:textId="3571AB61"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Usługi farmaceutyczne </w:t>
      </w:r>
      <w:r w:rsidR="007E016F">
        <w:rPr>
          <w:rFonts w:ascii="Times New Roman" w:eastAsia="Times New Roman" w:hAnsi="Times New Roman" w:cs="Times New Roman"/>
          <w:bCs/>
          <w:kern w:val="0"/>
          <w:sz w:val="24"/>
          <w:szCs w:val="24"/>
          <w:lang w:eastAsia="pl-PL"/>
          <w14:ligatures w14:val="none"/>
        </w:rPr>
        <w:t xml:space="preserve">– </w:t>
      </w:r>
      <w:r w:rsidRPr="0012352D">
        <w:rPr>
          <w:rFonts w:ascii="Times New Roman" w:eastAsia="Times New Roman" w:hAnsi="Times New Roman" w:cs="Times New Roman"/>
          <w:bCs/>
          <w:kern w:val="0"/>
          <w:sz w:val="24"/>
          <w:szCs w:val="24"/>
          <w:lang w:eastAsia="pl-PL"/>
          <w14:ligatures w14:val="none"/>
        </w:rPr>
        <w:t xml:space="preserve">jako podstawowa działalność apteki </w:t>
      </w:r>
      <w:r w:rsidR="007E016F">
        <w:rPr>
          <w:rFonts w:ascii="Times New Roman" w:eastAsia="Times New Roman" w:hAnsi="Times New Roman" w:cs="Times New Roman"/>
          <w:bCs/>
          <w:kern w:val="0"/>
          <w:sz w:val="24"/>
          <w:szCs w:val="24"/>
          <w:lang w:eastAsia="pl-PL"/>
          <w14:ligatures w14:val="none"/>
        </w:rPr>
        <w:t xml:space="preserve">– </w:t>
      </w:r>
      <w:r w:rsidRPr="0012352D">
        <w:rPr>
          <w:rFonts w:ascii="Times New Roman" w:eastAsia="Times New Roman" w:hAnsi="Times New Roman" w:cs="Times New Roman"/>
          <w:bCs/>
          <w:kern w:val="0"/>
          <w:sz w:val="24"/>
          <w:szCs w:val="24"/>
          <w:lang w:eastAsia="pl-PL"/>
          <w14:ligatures w14:val="none"/>
        </w:rPr>
        <w:t>obejmują, zgodnie z art. 4 ust.</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3 ustawy z dnia 10 grudnia 2020 r o zawodzie farmaceuty:</w:t>
      </w:r>
    </w:p>
    <w:p w14:paraId="53E933E8" w14:textId="64C884EC" w:rsidR="001C6147" w:rsidRPr="0012352D" w:rsidRDefault="001C6147" w:rsidP="0012352D">
      <w:pPr>
        <w:suppressAutoHyphens/>
        <w:autoSpaceDE w:val="0"/>
        <w:autoSpaceDN w:val="0"/>
        <w:adjustRightInd w:val="0"/>
        <w:spacing w:after="0" w:line="360" w:lineRule="auto"/>
        <w:ind w:left="425"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1)</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 xml:space="preserve">wydawanie z apteki produktów leczniczych w rozumieniu art. 2 pkt 32 Prawa farmaceutycznego i wyrobów medycznych oraz środków spożywczych specjalnego przeznaczenia żywieniowego w rozumieniu art. 3 ust. 3 pkt 43 ustawy z dnia 25 sierpnia </w:t>
      </w:r>
      <w:r w:rsidRPr="0012352D">
        <w:rPr>
          <w:rFonts w:ascii="Times New Roman" w:eastAsia="Times New Roman" w:hAnsi="Times New Roman" w:cs="Times New Roman"/>
          <w:bCs/>
          <w:kern w:val="0"/>
          <w:sz w:val="24"/>
          <w:szCs w:val="24"/>
          <w:lang w:eastAsia="pl-PL"/>
          <w14:ligatures w14:val="none"/>
        </w:rPr>
        <w:lastRenderedPageBreak/>
        <w:t>2006 r. o bezpieczeństwie żywności i żywienia (Dz. U. z 2023 r. poz. 1448, z późn. zm.), połączone z udzielaniem informacji i porad dotyczących działania i stosowania oraz przechowywania tych produktów, środków lub wyrobów medycznych;</w:t>
      </w:r>
    </w:p>
    <w:p w14:paraId="34792C3D" w14:textId="7BA04605"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2)</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sporządzanie produktów leczniczych połączone z oceną ich jakości, w tym trwałości;</w:t>
      </w:r>
    </w:p>
    <w:p w14:paraId="27A2FBA6" w14:textId="4EAB2A6C"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3)</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przeprowadzanie wywiadu farmaceutycznego;</w:t>
      </w:r>
    </w:p>
    <w:p w14:paraId="329CE0D4" w14:textId="17874DC6"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4)</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udzielanie porady farmaceutycznej w celu zapewnienia prawidłowego stosowania produktu leczniczego, wyrobu medycznego lub środka spożywczego specjalnego przeznaczenia żywieniowego, w szczególności w zakresie wydania właściwego produktu leczniczego wydawanego bez przepisu lekarza, przekazania informacji dotyczących właściwego stosowania, w tym dawkowania i możliwych interakcji z innymi produktami leczniczymi lub pożywieniem, wydawanego produktu, wyrobu lub środka oraz prawidłowego używania wyrobów medycznych;</w:t>
      </w:r>
    </w:p>
    <w:p w14:paraId="4769F078" w14:textId="3CBF64EB"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5)</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czynności wykonywane w aptece szpitalnej lub zakładowej w zakresie:</w:t>
      </w:r>
    </w:p>
    <w:p w14:paraId="463B0210" w14:textId="158F69DC" w:rsidR="001C6147" w:rsidRPr="0012352D" w:rsidRDefault="001C6147" w:rsidP="0012352D">
      <w:pPr>
        <w:suppressAutoHyphens/>
        <w:autoSpaceDE w:val="0"/>
        <w:autoSpaceDN w:val="0"/>
        <w:adjustRightInd w:val="0"/>
        <w:spacing w:before="120" w:after="0" w:line="360" w:lineRule="auto"/>
        <w:ind w:left="851"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ab/>
        <w:t>sporządzania pozajelitowych leków recepturowych i aptecznych, w tym preparatów do żywienia pozajelitowego,</w:t>
      </w:r>
    </w:p>
    <w:p w14:paraId="60CAEAD0" w14:textId="39DCD246" w:rsidR="001C6147" w:rsidRPr="0012352D" w:rsidRDefault="001C6147" w:rsidP="0012352D">
      <w:pPr>
        <w:suppressAutoHyphens/>
        <w:autoSpaceDE w:val="0"/>
        <w:autoSpaceDN w:val="0"/>
        <w:adjustRightInd w:val="0"/>
        <w:spacing w:before="120" w:after="0" w:line="360" w:lineRule="auto"/>
        <w:ind w:left="851"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b)</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sporządzania preparatów do żywienia dojelitowego,</w:t>
      </w:r>
    </w:p>
    <w:p w14:paraId="639F26F2" w14:textId="0909D23B" w:rsidR="001C6147" w:rsidRPr="0012352D" w:rsidRDefault="001C6147" w:rsidP="0012352D">
      <w:pPr>
        <w:suppressAutoHyphens/>
        <w:autoSpaceDE w:val="0"/>
        <w:autoSpaceDN w:val="0"/>
        <w:adjustRightInd w:val="0"/>
        <w:spacing w:before="120" w:after="0" w:line="360" w:lineRule="auto"/>
        <w:ind w:left="851"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c)</w:t>
      </w:r>
      <w:r w:rsidRPr="0012352D">
        <w:rPr>
          <w:rFonts w:ascii="Times New Roman" w:eastAsia="Times New Roman" w:hAnsi="Times New Roman" w:cs="Times New Roman"/>
          <w:bCs/>
          <w:kern w:val="0"/>
          <w:sz w:val="24"/>
          <w:szCs w:val="24"/>
          <w:lang w:eastAsia="pl-PL"/>
          <w14:ligatures w14:val="none"/>
        </w:rPr>
        <w:tab/>
        <w:t xml:space="preserve">przygotowywania leków w dawkach indywidualnych, w tym antybiotyków pozajelitowych, leków cytostatycznych oraz produktów leczniczych terapii zaawansowanej </w:t>
      </w:r>
      <w:r w:rsidR="00633AFE">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wyjątków szpitalnych,</w:t>
      </w:r>
    </w:p>
    <w:p w14:paraId="6BA5F5A4" w14:textId="58D2D2A9" w:rsidR="001C6147" w:rsidRPr="0012352D" w:rsidRDefault="001C6147" w:rsidP="0012352D">
      <w:pPr>
        <w:suppressAutoHyphens/>
        <w:autoSpaceDE w:val="0"/>
        <w:autoSpaceDN w:val="0"/>
        <w:adjustRightInd w:val="0"/>
        <w:spacing w:before="120" w:after="0" w:line="360" w:lineRule="auto"/>
        <w:ind w:left="851"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d)</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sporządzania produktów leczniczych radiofarmaceutycznych,</w:t>
      </w:r>
    </w:p>
    <w:p w14:paraId="6075BE20" w14:textId="35245419" w:rsidR="001C6147" w:rsidRPr="0012352D" w:rsidRDefault="001C6147" w:rsidP="0012352D">
      <w:pPr>
        <w:suppressAutoHyphens/>
        <w:autoSpaceDE w:val="0"/>
        <w:autoSpaceDN w:val="0"/>
        <w:adjustRightInd w:val="0"/>
        <w:spacing w:before="120" w:after="0" w:line="360" w:lineRule="auto"/>
        <w:ind w:left="851" w:hanging="425"/>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e)</w:t>
      </w:r>
      <w:r w:rsidRPr="0012352D">
        <w:rPr>
          <w:rFonts w:ascii="Times New Roman" w:eastAsia="Times New Roman" w:hAnsi="Times New Roman" w:cs="Times New Roman"/>
          <w:bCs/>
          <w:kern w:val="0"/>
          <w:sz w:val="24"/>
          <w:szCs w:val="24"/>
          <w:lang w:eastAsia="pl-PL"/>
          <w14:ligatures w14:val="none"/>
        </w:rPr>
        <w:tab/>
        <w:t>przygotowywania roztworów do hemodializy i dializy dootrzewnowej oraz monitorowania warunków sporządzania lub przygotowywania takich leków lub preparatów;</w:t>
      </w:r>
    </w:p>
    <w:p w14:paraId="200BB8E1" w14:textId="4DBB0611"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6)</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wykonywanie pomiaru ciśnienia krwi;</w:t>
      </w:r>
    </w:p>
    <w:p w14:paraId="7CC04EC0" w14:textId="1AE4A2DA"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7)</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 xml:space="preserve">usługi farmacji klinicznej. </w:t>
      </w:r>
    </w:p>
    <w:p w14:paraId="789A12BC" w14:textId="2C9947D4"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Dobrowolną działalnością apteki jest natomiast opieka farmaceutyczna, kwalifikowana jako świadczenie zdrowotne, udzielane przez farmaceutę i stanowiące dokumentowany proces, w którym farmaceuta, współpracując z pacjentem i lekarzem prowadzącym leczenie pacjenta, a w razie potrzeby z przedstawicielami innych zawodów medycznych, czuwa nad prawidłowym przebiegiem indywidualnej farmakoterapii. Katalog opieki farmaceutycznej obejmuje </w:t>
      </w:r>
      <w:r w:rsidRPr="0012352D">
        <w:rPr>
          <w:rFonts w:ascii="Times New Roman" w:eastAsia="Times New Roman" w:hAnsi="Times New Roman" w:cs="Times New Roman"/>
          <w:bCs/>
          <w:kern w:val="0"/>
          <w:sz w:val="24"/>
          <w:szCs w:val="24"/>
          <w:lang w:eastAsia="pl-PL"/>
          <w14:ligatures w14:val="none"/>
        </w:rPr>
        <w:lastRenderedPageBreak/>
        <w:t>5</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rodzajów świadczeń, w tym przykładowo prowadzenie konsultacji farmaceutycznych czy wykonywanie przeglądów lekowych wraz z oceną farmakoterapii lub badań diagnostycznych, określonych w przepisach wydanych na podstawie art. 4 ust. 7 ustawy z dnia 10 grudnia 2020</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r. o zawodzie farmaceuty.</w:t>
      </w:r>
    </w:p>
    <w:p w14:paraId="49CDA138"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Ponadto w aptekach wykonywane są zadania zawodowe farmaceuty obejmujące m.in.:</w:t>
      </w:r>
    </w:p>
    <w:p w14:paraId="70AEC2F9" w14:textId="0F655508"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1)</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nadzór nad czynnościami wykonywanymi w aptece przez studenta kierunku farmacja albo przez technika farmaceutycznego w zakresie czynności, których technik nie może wykonywać samodzielnie;</w:t>
      </w:r>
    </w:p>
    <w:p w14:paraId="7B7ABE4B" w14:textId="4FFBD384"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2)</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nadzór nad przyjmowaniem, przechowywaniem i wydawaniem produktów leczniczych i</w:t>
      </w:r>
      <w:r w:rsidR="00CA13EB">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wyrobów medycznych;</w:t>
      </w:r>
    </w:p>
    <w:p w14:paraId="2EE33C8E" w14:textId="0AEE48F2"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3)</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zgłaszanie właściwym organom działań niepożądanych produktów leczniczych czy niepożądanych odczynów poszczepiennych;</w:t>
      </w:r>
    </w:p>
    <w:p w14:paraId="5E96F06C" w14:textId="72712528"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4)</w:t>
      </w:r>
      <w:r w:rsidR="00633AFE">
        <w:rPr>
          <w:rFonts w:ascii="Times New Roman" w:eastAsia="Times New Roman" w:hAnsi="Times New Roman" w:cs="Times New Roman"/>
          <w:bCs/>
          <w:kern w:val="0"/>
          <w:sz w:val="24"/>
          <w:szCs w:val="24"/>
          <w:lang w:eastAsia="pl-PL"/>
          <w14:ligatures w14:val="none"/>
        </w:rPr>
        <w:tab/>
      </w:r>
      <w:r w:rsidRPr="0012352D">
        <w:rPr>
          <w:rFonts w:ascii="Times New Roman" w:eastAsia="Times New Roman" w:hAnsi="Times New Roman" w:cs="Times New Roman"/>
          <w:bCs/>
          <w:kern w:val="0"/>
          <w:sz w:val="24"/>
          <w:szCs w:val="24"/>
          <w:lang w:eastAsia="pl-PL"/>
          <w14:ligatures w14:val="none"/>
        </w:rPr>
        <w:t xml:space="preserve">prowadzenie działalności profilaktycznej, edukacyjnej oraz działalności na rzecz promocji zdrowia. </w:t>
      </w:r>
    </w:p>
    <w:p w14:paraId="5F923B18" w14:textId="55704E79"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Jednocześnie w aptekach są wykonywane innego rodzaju działania, np. przeprowadzanie szczepień ochronnych zalecanych, które należałoby kwalifikować jako rodzaj usługi. Stosownie bowiem do art. 86 ust. 8a Prawa farmaceutycznego w aptekach ogólnodostępnych, spełniających wymagania określone w przepisach wydanych na podstawie art. 97 ust. 5 i art.</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 xml:space="preserve">98 ust. 5 Prawa farmaceutycznego, mogą być przeprowadzane szczepienia ochronne zgodnie z przepisami ustawy z dnia 5 grudnia 2008 r. o zapobieganiu oraz zwalczaniu zakażeń i chorób zakaźnych u ludzi (Dz. U. z 2025 r. poz. 1675, z późn. zm.). Podobnie w przypadku recept farmaceutycznych, które </w:t>
      </w:r>
      <w:r w:rsidR="00AD3C65">
        <w:rPr>
          <w:rFonts w:ascii="Times New Roman" w:eastAsia="Times New Roman" w:hAnsi="Times New Roman" w:cs="Times New Roman"/>
          <w:bCs/>
          <w:kern w:val="0"/>
          <w:sz w:val="24"/>
          <w:szCs w:val="24"/>
          <w:lang w:eastAsia="pl-PL"/>
          <w14:ligatures w14:val="none"/>
        </w:rPr>
        <w:t>są</w:t>
      </w:r>
      <w:r w:rsidRPr="0012352D">
        <w:rPr>
          <w:rFonts w:ascii="Times New Roman" w:eastAsia="Times New Roman" w:hAnsi="Times New Roman" w:cs="Times New Roman"/>
          <w:bCs/>
          <w:kern w:val="0"/>
          <w:sz w:val="24"/>
          <w:szCs w:val="24"/>
          <w:lang w:eastAsia="pl-PL"/>
          <w14:ligatures w14:val="none"/>
        </w:rPr>
        <w:t xml:space="preserve"> także określoną usługą – wynikiem wywiadu, któr</w:t>
      </w:r>
      <w:r w:rsidR="00AD3C65">
        <w:rPr>
          <w:rFonts w:ascii="Times New Roman" w:eastAsia="Times New Roman" w:hAnsi="Times New Roman" w:cs="Times New Roman"/>
          <w:bCs/>
          <w:kern w:val="0"/>
          <w:sz w:val="24"/>
          <w:szCs w:val="24"/>
          <w:lang w:eastAsia="pl-PL"/>
          <w14:ligatures w14:val="none"/>
        </w:rPr>
        <w:t>e</w:t>
      </w:r>
      <w:r w:rsidRPr="0012352D">
        <w:rPr>
          <w:rFonts w:ascii="Times New Roman" w:eastAsia="Times New Roman" w:hAnsi="Times New Roman" w:cs="Times New Roman"/>
          <w:bCs/>
          <w:kern w:val="0"/>
          <w:sz w:val="24"/>
          <w:szCs w:val="24"/>
          <w:lang w:eastAsia="pl-PL"/>
          <w14:ligatures w14:val="none"/>
        </w:rPr>
        <w:t xml:space="preserve"> należałoby przez </w:t>
      </w:r>
      <w:r w:rsidR="00AA1664">
        <w:rPr>
          <w:rFonts w:ascii="Times New Roman" w:eastAsia="Times New Roman" w:hAnsi="Times New Roman" w:cs="Times New Roman"/>
          <w:bCs/>
          <w:kern w:val="0"/>
          <w:sz w:val="24"/>
          <w:szCs w:val="24"/>
          <w:lang w:eastAsia="pl-PL"/>
          <w14:ligatures w14:val="none"/>
        </w:rPr>
        <w:t>ich</w:t>
      </w:r>
      <w:r w:rsidRPr="0012352D">
        <w:rPr>
          <w:rFonts w:ascii="Times New Roman" w:eastAsia="Times New Roman" w:hAnsi="Times New Roman" w:cs="Times New Roman"/>
          <w:bCs/>
          <w:kern w:val="0"/>
          <w:sz w:val="24"/>
          <w:szCs w:val="24"/>
          <w:lang w:eastAsia="pl-PL"/>
          <w14:ligatures w14:val="none"/>
        </w:rPr>
        <w:t xml:space="preserve"> charakter uznać za rodzaj świadczenia.</w:t>
      </w:r>
    </w:p>
    <w:p w14:paraId="07F1FC16" w14:textId="19F1D8B6"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Natomiast w odniesieniu do programów realizowanych w aptekach na podstawie przepisów prawa powszechnie obowiązującego należy wskazać, że apteki szpitalne mogą zaopatrywać w leki pacjentów włączonych do terapii w ramach programów lekowych, o których mowa w ustawie z dnia 12 maja 2011 r. o refundacji leków, środków spożywczych specjalnego przeznaczenia żywieniowego oraz wyrobów medycznych (Dz. U. z 2026 r. poz. 253, z</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późn.</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zm.), a także pacjentów korzystających z chemioterapii w trybie ambulatoryjnym; jak również pacjentów włączonych do programów zdrowotnych lub programów polityki zdrowotnej, lub objętych obowiązkowym leczeniem, o którym mowa w art. 40 ustawy z dnia 5</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grudnia 2008 r. o zapobieganiu oraz zwalczaniu zakażeń i chorób zakaźnych u ludzi.</w:t>
      </w:r>
    </w:p>
    <w:p w14:paraId="69608ED6" w14:textId="6E136D52"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Punkty apteczne stanowią natomiast placówki, które uczestniczą w rynku obrotu detalicznego produktami leczniczymi, poza aptekami, przy uwzględnieniu jednocześnie przepisów art. 71 ust. 1 i 3 pkt 2 Prawa farmaceutycznego. Uzupełnienie sieci dystrybucji detalicznej produktów leczniczych wydawanych bez przepisu lekarza, ale z wyłączeniem produktów weterynaryjnych, zapewniają bowiem tzw. placówki obrotu pozaaptecznego, tj.: sklepy zielarsko-medyczne, sklepy specjalistyczne zaopatrzenia medycznego i sklepy ogólnodostępne. Natomiast wykazy produktów leczniczych, które mogą być dopuszczone do obrotu w placówkach obrotu pozaaptecznego oraz punktach aptecznych, określa rozporządzenie Ministra Zdrowia z dnia 21</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grudnia 2021 r. w sprawie wykazu substancji czynnych wchodzących w skład produktów leczniczych, które mogą być dopuszczone do obrotu w placówkach obrotu pozaaptecznego oraz punktach aptecznych, oraz kryteriów klasyfikacji tych produktów do poszczególnych wykazów (Dz. U. z 2026 r. poz. 669).</w:t>
      </w:r>
    </w:p>
    <w:p w14:paraId="3854A672" w14:textId="48B06186"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Ponadto należy również mieć na uwadze, że zgodnie z art. 71a ust. 1 Prawa farmaceutycznego jedynie apteki i punkty apteczne mogą prowadzić obrót detaliczny produktami leczniczymi zawierającymi w składzie wybrane substancje o działaniu psychoaktywnym, posiadającymi kategorię dostępności „wydawane bez przepisu lekarza – OTC”, zaś ich wydawanie podlega w ramach jednorazowej sprzedaży ograniczeniu ze względu na maksymalny poziom zawartości w nich określonej substancji o działaniu psychoaktywnym, niezbędny do przeprowadzenia skutecznej terapii w dopuszczalnym okresie bezpiecznego leczenia dla jednej osoby (por.</w:t>
      </w:r>
      <w:r w:rsidR="00CA13EB">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art.</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71a ust. 2 i 5 Prawa farmaceutycznego).</w:t>
      </w:r>
    </w:p>
    <w:p w14:paraId="2282432D" w14:textId="319A37F5"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Zatem najbardziej właściwym rozwiązaniem pozostaje odniesienie usług, świadczeń i</w:t>
      </w:r>
      <w:r w:rsidR="006D15F8">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programów do obowiązujących przepisów prawa.</w:t>
      </w:r>
    </w:p>
    <w:p w14:paraId="7A57CE11"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Projektowane regulacje mają na celu zapewnienie skutecznej ochrony pacjentów przed negatywnymi skutkami reklamy, która przed wprowadzeniem zakazu wynikającego z art. 94a Prawa farmaceutycznego była prowadzona w sposób mogący wpływać na nieracjonalne decyzje konsumenckie. Dotyczy to w szczególności praktyk polegających na oferowaniu klientom różnego rodzaju korzyści materialnych i niematerialnych, takich jak nagrody, udział w programach lojalnościowych czy inne formy gratyfikacji, które miały na celu budowanie przywiązania do konkretnej placówki aptecznej. Przepis ma na celu również ograniczenie rabatów warunkowych, które przysługiwałyby np. za przedstawienie dowodu w postaci paragonu dokonania uprzednich zakupów, wydania w aptece konkretnej kwoty czy zakupu oznaczonego produktu. </w:t>
      </w:r>
    </w:p>
    <w:p w14:paraId="15894F46" w14:textId="4CC14DAD"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Wprowadzono też zakaz reklamy porównawczej rozumianej jako reklam</w:t>
      </w:r>
      <w:r w:rsidR="008E57E1">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umożliwiając</w:t>
      </w:r>
      <w:r w:rsidR="008E57E1">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bezpośrednio lub pośrednio rozpoznanie konkurencyjnej apteki lub punktu aptecznego albo oferowanego asortymentu lub usług oferowanych przez konkurencyjną aptekę lub punkt apteczny. W zakresie definicji legalnej pojęcia „reklama porównawcza” wprowadzono odesłanie do art. 16 ust. 3 ustawy z dnia 16 kwietnia 1993 r. o zwalczaniu nieuczciwej konkurencji (Dz. U. z 2026 r. poz. 85), która została zaimplementowana z dyrektywy 2006/114/WE Parlamentu Europejskiego i Rady z dnia 12 grudnia 2006 r. dotycząc</w:t>
      </w:r>
      <w:r w:rsidR="00617CF1">
        <w:rPr>
          <w:rFonts w:ascii="Times New Roman" w:eastAsia="Times New Roman" w:hAnsi="Times New Roman" w:cs="Times New Roman"/>
          <w:bCs/>
          <w:kern w:val="0"/>
          <w:sz w:val="24"/>
          <w:szCs w:val="24"/>
          <w:lang w:eastAsia="pl-PL"/>
          <w14:ligatures w14:val="none"/>
        </w:rPr>
        <w:t>ej</w:t>
      </w:r>
      <w:r w:rsidRPr="0012352D">
        <w:rPr>
          <w:rFonts w:ascii="Times New Roman" w:eastAsia="Times New Roman" w:hAnsi="Times New Roman" w:cs="Times New Roman"/>
          <w:bCs/>
          <w:kern w:val="0"/>
          <w:sz w:val="24"/>
          <w:szCs w:val="24"/>
          <w:lang w:eastAsia="pl-PL"/>
          <w14:ligatures w14:val="none"/>
        </w:rPr>
        <w:t xml:space="preserve"> reklamy wprowadzającej w błąd i reklamy porównawczej (Dz. Urz. UE L 376</w:t>
      </w:r>
      <w:r w:rsidR="006676BE" w:rsidRPr="006676BE">
        <w:t xml:space="preserve"> </w:t>
      </w:r>
      <w:r w:rsidR="006676BE" w:rsidRPr="0012352D">
        <w:rPr>
          <w:rFonts w:ascii="Times New Roman" w:hAnsi="Times New Roman" w:cs="Times New Roman"/>
          <w:sz w:val="24"/>
          <w:szCs w:val="24"/>
        </w:rPr>
        <w:t>z 27.12.2006</w:t>
      </w:r>
      <w:r w:rsidRPr="0012352D">
        <w:rPr>
          <w:rFonts w:ascii="Times New Roman" w:eastAsia="Times New Roman" w:hAnsi="Times New Roman" w:cs="Times New Roman"/>
          <w:bCs/>
          <w:kern w:val="0"/>
          <w:sz w:val="24"/>
          <w:szCs w:val="24"/>
          <w:lang w:eastAsia="pl-PL"/>
          <w14:ligatures w14:val="none"/>
        </w:rPr>
        <w:t xml:space="preserve">, str. 21). </w:t>
      </w:r>
    </w:p>
    <w:p w14:paraId="4FB2F5E3" w14:textId="2ECDD1BF"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Przepis art. 16 ust. 3 ustawy z dnia 16 kwietnia 1993 r. o zwalczaniu nieuczciwej konkurencji stanowi, że </w:t>
      </w:r>
      <w:bookmarkStart w:id="0" w:name="_Hlk215354463"/>
      <w:r w:rsidRPr="0012352D">
        <w:rPr>
          <w:rFonts w:ascii="Times New Roman" w:eastAsia="Times New Roman" w:hAnsi="Times New Roman" w:cs="Times New Roman"/>
          <w:bCs/>
          <w:kern w:val="0"/>
          <w:sz w:val="24"/>
          <w:szCs w:val="24"/>
          <w:lang w:eastAsia="pl-PL"/>
          <w14:ligatures w14:val="none"/>
        </w:rPr>
        <w:t xml:space="preserve">reklama </w:t>
      </w:r>
      <w:bookmarkEnd w:id="0"/>
      <w:r w:rsidRPr="0012352D">
        <w:rPr>
          <w:rFonts w:ascii="Times New Roman" w:eastAsia="Times New Roman" w:hAnsi="Times New Roman" w:cs="Times New Roman"/>
          <w:bCs/>
          <w:kern w:val="0"/>
          <w:sz w:val="24"/>
          <w:szCs w:val="24"/>
          <w:lang w:eastAsia="pl-PL"/>
          <w14:ligatures w14:val="none"/>
        </w:rPr>
        <w:t>porównawcza stanowi czyn nieuczciwej konkurencji, jeżeli jest sprzeczna z dobrymi obyczajami. Reklama porównawcza nie jest sprzeczna z dobrymi obyczajami, jeżeli łącznie spełnia następujące przesłanki:</w:t>
      </w:r>
    </w:p>
    <w:p w14:paraId="1F8FEDEB" w14:textId="28F45572"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1)</w:t>
      </w:r>
      <w:r w:rsidRPr="0012352D">
        <w:rPr>
          <w:rFonts w:ascii="Times New Roman" w:eastAsia="Times New Roman" w:hAnsi="Times New Roman" w:cs="Times New Roman"/>
          <w:bCs/>
          <w:kern w:val="0"/>
          <w:sz w:val="24"/>
          <w:szCs w:val="24"/>
          <w:lang w:eastAsia="pl-PL"/>
          <w14:ligatures w14:val="none"/>
        </w:rPr>
        <w:tab/>
        <w:t>nie jest reklamą wprowadzającą w błąd, o której mowa w art. 16 ust. 1 pkt 2 ww. ustawy;</w:t>
      </w:r>
    </w:p>
    <w:p w14:paraId="6FA70BC9" w14:textId="407EADB6"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2)</w:t>
      </w:r>
      <w:r w:rsidRPr="0012352D">
        <w:rPr>
          <w:rFonts w:ascii="Times New Roman" w:eastAsia="Times New Roman" w:hAnsi="Times New Roman" w:cs="Times New Roman"/>
          <w:bCs/>
          <w:kern w:val="0"/>
          <w:sz w:val="24"/>
          <w:szCs w:val="24"/>
          <w:lang w:eastAsia="pl-PL"/>
          <w14:ligatures w14:val="none"/>
        </w:rPr>
        <w:tab/>
        <w:t>w sposób rzetelny i dający się zweryfikować na podstawie obiektywnych kryteriów porównuje towary lub usługi zaspokajające te same potrzeby lub przeznaczone do tego samego celu;</w:t>
      </w:r>
    </w:p>
    <w:p w14:paraId="767C1FCB" w14:textId="56DAFAE7"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3)</w:t>
      </w:r>
      <w:r w:rsidRPr="0012352D">
        <w:rPr>
          <w:rFonts w:ascii="Times New Roman" w:eastAsia="Times New Roman" w:hAnsi="Times New Roman" w:cs="Times New Roman"/>
          <w:bCs/>
          <w:kern w:val="0"/>
          <w:sz w:val="24"/>
          <w:szCs w:val="24"/>
          <w:lang w:eastAsia="pl-PL"/>
          <w14:ligatures w14:val="none"/>
        </w:rPr>
        <w:tab/>
        <w:t>w sposób obiektywny porównuje jedną lub kilka istotnych, charakterystycznych, sprawdzalnych i typowych cech tych towarów i usług, do których może należeć także cena;</w:t>
      </w:r>
    </w:p>
    <w:p w14:paraId="12DC9FAB" w14:textId="6C80A764"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4)</w:t>
      </w:r>
      <w:r w:rsidRPr="0012352D">
        <w:rPr>
          <w:rFonts w:ascii="Times New Roman" w:eastAsia="Times New Roman" w:hAnsi="Times New Roman" w:cs="Times New Roman"/>
          <w:bCs/>
          <w:kern w:val="0"/>
          <w:sz w:val="24"/>
          <w:szCs w:val="24"/>
          <w:lang w:eastAsia="pl-PL"/>
          <w14:ligatures w14:val="none"/>
        </w:rPr>
        <w:tab/>
        <w:t>nie powoduje na rynku pomyłek w rozróżnieniu między reklamującym a jego konkurentem ani między ich towarami albo usługami, znakami towarowymi, oznaczeniami przedsiębiorstwa lub innymi oznaczeniami odróżniającymi;</w:t>
      </w:r>
    </w:p>
    <w:p w14:paraId="34E60C68" w14:textId="1EA2A5A9"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5)</w:t>
      </w:r>
      <w:r w:rsidRPr="0012352D">
        <w:rPr>
          <w:rFonts w:ascii="Times New Roman" w:eastAsia="Times New Roman" w:hAnsi="Times New Roman" w:cs="Times New Roman"/>
          <w:bCs/>
          <w:kern w:val="0"/>
          <w:sz w:val="24"/>
          <w:szCs w:val="24"/>
          <w:lang w:eastAsia="pl-PL"/>
          <w14:ligatures w14:val="none"/>
        </w:rPr>
        <w:tab/>
        <w:t>nie dyskredytuje towarów, usług, działalności, znaków towarowych, oznaczeń przedsiębiorstwa lub innych oznaczeń odróżniających, a także okoliczności dotyczących konkurenta;</w:t>
      </w:r>
    </w:p>
    <w:p w14:paraId="7876CED7" w14:textId="60BA0176"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6)</w:t>
      </w:r>
      <w:r w:rsidRPr="0012352D">
        <w:rPr>
          <w:rFonts w:ascii="Times New Roman" w:eastAsia="Times New Roman" w:hAnsi="Times New Roman" w:cs="Times New Roman"/>
          <w:bCs/>
          <w:kern w:val="0"/>
          <w:sz w:val="24"/>
          <w:szCs w:val="24"/>
          <w:lang w:eastAsia="pl-PL"/>
          <w14:ligatures w14:val="none"/>
        </w:rPr>
        <w:tab/>
        <w:t>w odniesieniu do towarów z chronionym oznaczeniem geograficznym lub chronioną nazwą pochodzenia odnosi się zawsze do towarów z takim samym oznaczeniem;</w:t>
      </w:r>
    </w:p>
    <w:p w14:paraId="00E9FEE0" w14:textId="5AD6E721"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7)</w:t>
      </w:r>
      <w:r w:rsidRPr="0012352D">
        <w:rPr>
          <w:rFonts w:ascii="Times New Roman" w:eastAsia="Times New Roman" w:hAnsi="Times New Roman" w:cs="Times New Roman"/>
          <w:bCs/>
          <w:kern w:val="0"/>
          <w:sz w:val="24"/>
          <w:szCs w:val="24"/>
          <w:lang w:eastAsia="pl-PL"/>
          <w14:ligatures w14:val="none"/>
        </w:rPr>
        <w:tab/>
        <w:t>nie wykorzystuje w nieuczciwy sposób renomy znaku towarowego, oznaczenia przedsiębiorstwa lub innego oznaczenia odróżniającego konkurenta ani też chronionego oznaczenia geograficznego lub chronionej nazwy pochodzenia produktów konkurencyjnych;</w:t>
      </w:r>
    </w:p>
    <w:p w14:paraId="2BE39917" w14:textId="016DBFF9" w:rsidR="001C6147" w:rsidRPr="0012352D" w:rsidRDefault="001C6147" w:rsidP="0012352D">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8)</w:t>
      </w:r>
      <w:r w:rsidRPr="0012352D">
        <w:rPr>
          <w:rFonts w:ascii="Times New Roman" w:eastAsia="Times New Roman" w:hAnsi="Times New Roman" w:cs="Times New Roman"/>
          <w:bCs/>
          <w:kern w:val="0"/>
          <w:sz w:val="24"/>
          <w:szCs w:val="24"/>
          <w:lang w:eastAsia="pl-PL"/>
          <w14:ligatures w14:val="none"/>
        </w:rPr>
        <w:tab/>
        <w:t>nie przedstawia towaru lub usługi jako imitacji czy naśladownictwa towaru lub usługi opatrzonych chronionym znakiem towarowym, chronionym oznaczeniem geograficznym lub chronioną nazwą pochodzenia albo innym oznaczeniem odróżniającym.</w:t>
      </w:r>
    </w:p>
    <w:p w14:paraId="5574C64C"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Reklama nie może stanowić narzędzia zachęcającego do zakupów w oderwaniu od rzeczywistych potrzeb zdrowotnych pacjenta, dlatego przewidziano stosowne zabezpieczenia. Ponadto wprowadzane ograniczenia mają na celu zapewnienie, że przekaz reklamowy będzie zgodny z zasadami etyki zawodowej farmaceutów oraz standardami obiektywizmu i neutralności.</w:t>
      </w:r>
    </w:p>
    <w:p w14:paraId="7BE826C3"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 ocenie projektodawcy wprowadzenie jedynie ograniczenia reklamy porównawczej, a nie jej zakazu nie doprowadzi do osiągnięcia zamierzonego celu, aby nie dopuścić reklamy deprecjonującej powagę aptek ogólnodostępnych i punktów aptecznych.</w:t>
      </w:r>
    </w:p>
    <w:p w14:paraId="14240493" w14:textId="0EAE13FE"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Apteki ogólnodostępne poza tym, że prowadzone są w ramach działalności gospodarczej, a</w:t>
      </w:r>
      <w:r w:rsidR="007016EA">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więc ich celem dla przedsiębiorcy jest zysk, mają ważną rolę dla systemu zdrowia, praw pacjentów, dostępności do produktów leczniczych. Ograniczenie restrykcyjności przedmiotowego przepisu docelowo doprowadzi do nadużywania reklamy porównawczej i obciąży inspekcję farmaceutyczną koniecznością analizy</w:t>
      </w:r>
      <w:r w:rsidR="00043701">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czy dana reklama porównawcza już przekracza określone normy. Wprowadzenie całkowitego zakazu da jasne wytyczne tak przedsiębiorcom</w:t>
      </w:r>
      <w:r w:rsidR="00043701">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jak również inspekcji.</w:t>
      </w:r>
    </w:p>
    <w:p w14:paraId="44D02716" w14:textId="4741B1F1"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Wyjaśnienia ponadto wymaga, że reklama porównawcza to forma promocji, w której jedna apteka ogólnodostępna będzie porównywała swoje produkty/usługi do oferty apteki konkurencyjnej. W ramach reklamy podkreśleniu będą podlegały przewagi</w:t>
      </w:r>
      <w:r w:rsidR="00A04CEB">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jak</w:t>
      </w:r>
      <w:r w:rsidR="00A04CEB">
        <w:rPr>
          <w:rFonts w:ascii="Times New Roman" w:eastAsia="Times New Roman" w:hAnsi="Times New Roman" w:cs="Times New Roman"/>
          <w:bCs/>
          <w:kern w:val="0"/>
          <w:sz w:val="24"/>
          <w:szCs w:val="24"/>
          <w:lang w:eastAsia="pl-PL"/>
          <w14:ligatures w14:val="none"/>
        </w:rPr>
        <w:t>ie</w:t>
      </w:r>
      <w:r w:rsidRPr="0012352D">
        <w:rPr>
          <w:rFonts w:ascii="Times New Roman" w:eastAsia="Times New Roman" w:hAnsi="Times New Roman" w:cs="Times New Roman"/>
          <w:bCs/>
          <w:kern w:val="0"/>
          <w:sz w:val="24"/>
          <w:szCs w:val="24"/>
          <w:lang w:eastAsia="pl-PL"/>
          <w14:ligatures w14:val="none"/>
        </w:rPr>
        <w:t xml:space="preserve"> jedna apteka ma nad drugą. Należy mieć na uwadze też to, że przy reklamie porównawczej łatwo niedopowiedzeniami wprowadzić w błąd. Łatwo jest zmanipulować przekazywane informacje.</w:t>
      </w:r>
    </w:p>
    <w:p w14:paraId="00784CDD" w14:textId="3E544D02"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Brak zakazu reklamy porównawczej może też doprowadzić do naruszeń ustawy z dnia 16</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kwietnia 1993 r. o zwalczaniu nieuczciwej konkurencji</w:t>
      </w:r>
      <w:r w:rsidR="00EF4E1E">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co spotęguje to, czego obawia się projektodawca, a mianowicie utraty reputacji i wiarygodności przez placówkę ochrony zdrowia. Bowiem ostatecznie doprowadzić to może do sporów sądowych.</w:t>
      </w:r>
    </w:p>
    <w:p w14:paraId="222973E8" w14:textId="00B9A4D2"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Reklama porównawcza, co da się zaobserwować w mediach, stała się popularnym narzędziem, które pozwala firmom wyróżnić się w oczach konsumenta. Apteka ogólnodostępna i punkt apteczny są placówkami ochrony zdrowia, mającymi za swój główny cel zapewnienie dostępu do produktów leczniczych pacjentowi</w:t>
      </w:r>
      <w:r w:rsidR="00605302">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co oznacza, że wzbudzanie kontrowersji, do których </w:t>
      </w:r>
      <w:r w:rsidRPr="0012352D">
        <w:rPr>
          <w:rFonts w:ascii="Times New Roman" w:eastAsia="Times New Roman" w:hAnsi="Times New Roman" w:cs="Times New Roman"/>
          <w:bCs/>
          <w:kern w:val="0"/>
          <w:sz w:val="24"/>
          <w:szCs w:val="24"/>
          <w:lang w:eastAsia="pl-PL"/>
          <w14:ligatures w14:val="none"/>
        </w:rPr>
        <w:lastRenderedPageBreak/>
        <w:t>może doprowadzić reklama porównawcza</w:t>
      </w:r>
      <w:r w:rsidR="00605302">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jest zbędne</w:t>
      </w:r>
      <w:r w:rsidR="00605302">
        <w:rPr>
          <w:rFonts w:ascii="Times New Roman" w:eastAsia="Times New Roman" w:hAnsi="Times New Roman" w:cs="Times New Roman"/>
          <w:bCs/>
          <w:kern w:val="0"/>
          <w:sz w:val="24"/>
          <w:szCs w:val="24"/>
          <w:lang w:eastAsia="pl-PL"/>
          <w14:ligatures w14:val="none"/>
        </w:rPr>
        <w:t xml:space="preserve"> –</w:t>
      </w:r>
      <w:r w:rsidRPr="0012352D">
        <w:rPr>
          <w:rFonts w:ascii="Times New Roman" w:eastAsia="Times New Roman" w:hAnsi="Times New Roman" w:cs="Times New Roman"/>
          <w:bCs/>
          <w:kern w:val="0"/>
          <w:sz w:val="24"/>
          <w:szCs w:val="24"/>
          <w:lang w:eastAsia="pl-PL"/>
          <w14:ligatures w14:val="none"/>
        </w:rPr>
        <w:t xml:space="preserve"> </w:t>
      </w:r>
      <w:r w:rsidR="00605302">
        <w:rPr>
          <w:rFonts w:ascii="Times New Roman" w:eastAsia="Times New Roman" w:hAnsi="Times New Roman" w:cs="Times New Roman"/>
          <w:bCs/>
          <w:kern w:val="0"/>
          <w:sz w:val="24"/>
          <w:szCs w:val="24"/>
          <w:lang w:eastAsia="pl-PL"/>
          <w14:ligatures w14:val="none"/>
        </w:rPr>
        <w:t>n</w:t>
      </w:r>
      <w:r w:rsidRPr="0012352D">
        <w:rPr>
          <w:rFonts w:ascii="Times New Roman" w:eastAsia="Times New Roman" w:hAnsi="Times New Roman" w:cs="Times New Roman"/>
          <w:bCs/>
          <w:kern w:val="0"/>
          <w:sz w:val="24"/>
          <w:szCs w:val="24"/>
          <w:lang w:eastAsia="pl-PL"/>
          <w14:ligatures w14:val="none"/>
        </w:rPr>
        <w:t>awet jeśli reklama taka miałaby być dozwolona w ograniczonym zakresie.</w:t>
      </w:r>
    </w:p>
    <w:p w14:paraId="2B5058E9" w14:textId="04C82C30"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Granice, które oddzielają nieuczciwe zachowania przy stosowaniu reklamy porównawczej</w:t>
      </w:r>
      <w:r w:rsidR="00F1230A">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są często niejasne, zaś inspekcja farmaceutyczna sprawująca nadzór nad aptekami nie powinna być narażana przy prowadzonej kontroli na nierozstrzygalne niuanse. Wprowadzenie jedynie ograniczeń w reklamie porównawczej spowoduje problemy interpretacyjne inspekcji farmaceutycznej i da argumenty podmiotom prowadzącym reklamę do kwestionowania stanowiska inspekcji farmaceutycznej.</w:t>
      </w:r>
    </w:p>
    <w:p w14:paraId="446FA884"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Mniej restrykcyjna regulacja w zakresie reklamy porównawczej nie jest możliwa. Każde odstępstwo w wyścigu o uwagę pacjenta może prowadzić do przekraczania zasad etyki. </w:t>
      </w:r>
    </w:p>
    <w:p w14:paraId="0AA0A530"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Zatem w ocenie projektodawcy zakaz reklamy porównawczej jest proporcjonalny do chronionego dobra i stosowanie mniej restrykcyjnego środka nie doprowadzi do zamierzonego celu.</w:t>
      </w:r>
    </w:p>
    <w:p w14:paraId="4FEDDA55" w14:textId="6CF4B8DE"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Dodatkowo projekt ustawy przewiduje zakaz wykorzystywania w reklamie wizerunku osób publicznie znanych, osób posiadających wykształcenie medyczne, a także osób sugerujących posiadanie takiego wykształcenia. Zakazane będzie również odwoływanie się do zaleceń tych osób. Z zakazu tego wyłączone są osoby posiadające wykształcenie farmaceutyczne</w:t>
      </w:r>
      <w:r w:rsidR="000F5B1E">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bowiem farmaceuci nie należą do kategorii wykształcenie medyczne. Tego rodzaju przekaz reklamowy, oparty na autorytecie i elementach socjotechniki, może prowadzić do nadmiernego zaufania odbiorców i ograniczenia ich zdolności do krytycznej oceny treści reklamy. Projektowane przepisy mają na celu wyeliminowanie takich praktyk, aby reklama nie wpływała w sposób nieproporcjonalny na decyzje zdrowotne pacjentów.</w:t>
      </w:r>
    </w:p>
    <w:p w14:paraId="72DDDC0C"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Wyjaśnienia dodatkowo wymaga, że pojęcie „osoba znana publicznie” występuje w art. 55 Prawa farmaceutycznego dotyczącym reklamy produktów leczniczych, zatem nie powinno być wątpliwości, że w przepisie dotyczącym reklamy aptek projektodawca może posłużyć się tożsamym pojęciem, jakie już występuje w tej samej ustawie. </w:t>
      </w:r>
    </w:p>
    <w:p w14:paraId="444FAB26" w14:textId="3DA98300"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Ponadto w orzecznictwie „osoba znana publicznie” jest rozumiana jako osob</w:t>
      </w:r>
      <w:r w:rsidR="005B4330">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znan</w:t>
      </w:r>
      <w:r w:rsidR="005B4330">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z racji różnych form swojej aktywności, która powoduje rozpoznawalność w szerokich kręgach społecznych (przykładowo wyrok Sądu Najwyższego – Izba Cywilna z dnia 24 stycznia 2008</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r., I CSK 341/07, wyrok Naczelnego Sądu Administracyjnego z dnia 8 czerwca 2022 r. sygn.</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 xml:space="preserve">akt II GSK 377/19, wyrok Sądu Okręgowego w Warszawie z dnia 7 sierpnia 2025 r., sygn. akt I C 258/24, wyrok Wojewódzkiego Sądu Administracyjnego w Bydgoszczy z dnia </w:t>
      </w:r>
      <w:r w:rsidRPr="0012352D">
        <w:rPr>
          <w:rFonts w:ascii="Times New Roman" w:eastAsia="Times New Roman" w:hAnsi="Times New Roman" w:cs="Times New Roman"/>
          <w:bCs/>
          <w:kern w:val="0"/>
          <w:sz w:val="24"/>
          <w:szCs w:val="24"/>
          <w:lang w:eastAsia="pl-PL"/>
          <w14:ligatures w14:val="none"/>
        </w:rPr>
        <w:lastRenderedPageBreak/>
        <w:t>3</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listopada 2022 r., sygn. akt II SA/Bd 970/22, wyrok Naczelnego Sądu Administracyjnego z dnia 13 lipca 2</w:t>
      </w:r>
      <w:r w:rsidR="00E04866">
        <w:rPr>
          <w:rFonts w:ascii="Times New Roman" w:eastAsia="Times New Roman" w:hAnsi="Times New Roman" w:cs="Times New Roman"/>
          <w:bCs/>
          <w:kern w:val="0"/>
          <w:sz w:val="24"/>
          <w:szCs w:val="24"/>
          <w:lang w:eastAsia="pl-PL"/>
          <w14:ligatures w14:val="none"/>
        </w:rPr>
        <w:t>0</w:t>
      </w:r>
      <w:r w:rsidRPr="0012352D">
        <w:rPr>
          <w:rFonts w:ascii="Times New Roman" w:eastAsia="Times New Roman" w:hAnsi="Times New Roman" w:cs="Times New Roman"/>
          <w:bCs/>
          <w:kern w:val="0"/>
          <w:sz w:val="24"/>
          <w:szCs w:val="24"/>
          <w:lang w:eastAsia="pl-PL"/>
          <w14:ligatures w14:val="none"/>
        </w:rPr>
        <w:t>23 r., sygn. akt III OSK 595/22).</w:t>
      </w:r>
    </w:p>
    <w:p w14:paraId="3F65B522" w14:textId="2B137F2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Jako uzasadnione należy uznać takie prowadzenie reklamy aptek, punktów aptecznych lub ich działalności, aby klient mógł przede wszystkim zorientować się w całym przekroju oferty na rynku, występujących różnicach pomiędzy poszczególnymi podmiotami w odniesieniu do oferowanych produktów, świadczeń, usług, zakresu sprawowanej opieki farmaceutycznej oraz cen. Dlatego w projektowanym art. 94a ust. 1b pkt 5 wyłącza się stosowanie w reklamie przekazów, które nie bazują na szeroko pojętej rzetelności i obiektywizmie, które nie są profesjonalne, możliwie kompletne, wprowadzają w błąd lub które nie są neutralne emocjonalnie (np. bazują na wywoływaniu obaw o pogorszenie albo brak poprawy stanu zdrowia). </w:t>
      </w:r>
    </w:p>
    <w:p w14:paraId="3BE2BB82" w14:textId="3DFA9EB4"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Projektodawca nie widzi również uzasadnienia, aby omawiane reklamy mogły być kierowane do dzieci i młodzieży poniżej 18. roku życia, aby wykorzystywać w nich ich wizerunek ani aby te reklamy zawierały inne elementy związane z osobami poniżej 18. roku życia (projektowany art. 94a ust. 1b pkt 3). W istocie to nie osoby poniżej 18. roku życia, tylko ich rodzice są obiorcami reklam, gdyż co do zasady oni wyłącznie powinni dokonywać zakupów produktów leczniczych, środków spożywczych specjalnego przeznaczenia żywieniowego lub wyrobów medycznych, jako szczególnych kategorii produktów. Nie ma też podstaw do wykorzystywania w omawianych reklamach wizerunku (jako wizerunek projektodawca rozumie również głos) osób poniżej 18. roku życia. Jakkolwiek przepisy regulujące reklamę produktów leczniczych stanowią transpozycję przepisów dyrektywnych, które takich zabiegów wprost nie zabraniają, to jednak wydają się to praktyki kontrowersyjne z samego faktu, że przez ukazywanie osoby poniżej 18. roku życia reklama w równym stopniu może przykuwać uwagę nie tylko rodzica, ale i samej osoby poniżej 18. roku życia, któr</w:t>
      </w:r>
      <w:r w:rsidR="00E01172">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z natury rzeczy nie powinn</w:t>
      </w:r>
      <w:r w:rsidR="00E01172">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 xml:space="preserve"> być odbiorcą tego rodzaju przekazów.</w:t>
      </w:r>
    </w:p>
    <w:p w14:paraId="0440421F"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 zakresie zaproponowanego rozwiązania w art. 94a ust. 1b pkt 7 intencją projektodawcy jest wyeliminowanie sytuacji, w których reklama apteki lub punktu aptecznego jest powiązana z reklamą działalności nieaptecznej zarówno wtedy, gdy inna działalność służy promocji apteki lub punktu aptecznego, jak i wtedy, gdy reklama apteki wykorzystywana jest do promowania innych usług lub przedsiębiorców.</w:t>
      </w:r>
    </w:p>
    <w:p w14:paraId="30355536"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Placówki te (apteki i punkty apteczne) będą mogły reklamować się poprzez swoją działalność, ale nie powinny reklamować się poprzez dodatkowe treści niezwiązane z ochroną zdrowia lub próbować przyciągać klientów innymi korzyściami niż sama główna działalność.</w:t>
      </w:r>
    </w:p>
    <w:p w14:paraId="0912CA11" w14:textId="52A73B2D"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Przepisy regulujące działalność aptek i punktów aptecznych w sposób szczegółowy określają zakres ich funkcjonowania, w tym rodzaj świadczonych usług oraz oferowanego asortymentu. W konsekwencji osoby prowadzące te placówki oraz wykonujące w nich pracę nie powinny mieć trudności z rozróżnieniem, jakie działania i treści pozostają związane z działalnością, a</w:t>
      </w:r>
      <w:r w:rsidR="00A6414C">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jakie wykraczają poza zakres określony przepisami prawa powszechnie obowiązującego.</w:t>
      </w:r>
    </w:p>
    <w:p w14:paraId="30DEB2A9" w14:textId="0FBAFC3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Uzasadniony jest zakaz prowadzenia przekazów reklamowych w taki sposób, aby zmierzało to w kierunku naruszeń prawa albo </w:t>
      </w:r>
      <w:r w:rsidR="005424C4">
        <w:rPr>
          <w:rFonts w:ascii="Times New Roman" w:eastAsia="Times New Roman" w:hAnsi="Times New Roman" w:cs="Times New Roman"/>
          <w:bCs/>
          <w:kern w:val="0"/>
          <w:sz w:val="24"/>
          <w:szCs w:val="24"/>
          <w:lang w:eastAsia="pl-PL"/>
          <w14:ligatures w14:val="none"/>
        </w:rPr>
        <w:t>a</w:t>
      </w:r>
      <w:r w:rsidRPr="0012352D">
        <w:rPr>
          <w:rFonts w:ascii="Times New Roman" w:eastAsia="Times New Roman" w:hAnsi="Times New Roman" w:cs="Times New Roman"/>
          <w:bCs/>
          <w:kern w:val="0"/>
          <w:sz w:val="24"/>
          <w:szCs w:val="24"/>
          <w:lang w:eastAsia="pl-PL"/>
          <w14:ligatures w14:val="none"/>
        </w:rPr>
        <w:t>by reklama odbiegała od jej zasadniczego celu.</w:t>
      </w:r>
    </w:p>
    <w:p w14:paraId="6A78D7FB"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Podsumowując, proponowane rozwiązania dotyczące reklamy aptek, punktów aptecznych oraz ich działalności są koncepcją odwrotną w stosunku do dotychczasowej. Apteki i punkty apteczne mogą się reklamować, ale na zasadach określonych w Prawie farmaceutycznym. </w:t>
      </w:r>
    </w:p>
    <w:p w14:paraId="3902A92D" w14:textId="3D8CCC5B"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W zasadniczej części proponowane w projekcie rozwiązania bazują na rozwiązaniach dotyczących reklamy produktów leczniczych, w tym co do sposobu zdefiniowania, czym jest reklama aptek, punktów aptecznych oraz ich działalności. Regulacje dotyczące reklamy produktów leczniczych mają swoje źródło w przepisach Tytułu VIII dyrektywy 2001/83/WE Parlamentu Europejskiego i Rady z dnia 6 listopada 2001 r. w sprawie wspólnotowego kodeksu odnoszącego się do produktów leczniczych stosowanych u ludzi (Dz. Urz. WE L 311 z 28.11.2001, str. 67, z późn. zm.</w:t>
      </w:r>
      <w:r w:rsidR="006676BE">
        <w:rPr>
          <w:rFonts w:ascii="Times New Roman" w:eastAsia="Times New Roman" w:hAnsi="Times New Roman" w:cs="Times New Roman"/>
          <w:bCs/>
          <w:kern w:val="0"/>
          <w:sz w:val="24"/>
          <w:szCs w:val="24"/>
          <w:lang w:eastAsia="pl-PL"/>
          <w14:ligatures w14:val="none"/>
        </w:rPr>
        <w:t xml:space="preserve"> –</w:t>
      </w:r>
      <w:r w:rsidRPr="0012352D">
        <w:rPr>
          <w:rFonts w:ascii="Times New Roman" w:eastAsia="Times New Roman" w:hAnsi="Times New Roman" w:cs="Times New Roman"/>
          <w:bCs/>
          <w:kern w:val="0"/>
          <w:sz w:val="24"/>
          <w:szCs w:val="24"/>
          <w:lang w:eastAsia="pl-PL"/>
          <w14:ligatures w14:val="none"/>
        </w:rPr>
        <w:t xml:space="preserve"> Dz. Urz. UE Polskie wydanie specjalne, rozdz. 13, t. 27, str. 69), zwanej dalej „dyrektywą 2001/83/WE”</w:t>
      </w:r>
      <w:r w:rsidR="00FB55DC">
        <w:rPr>
          <w:rFonts w:ascii="Times New Roman" w:eastAsia="Times New Roman" w:hAnsi="Times New Roman" w:cs="Times New Roman"/>
          <w:bCs/>
          <w:kern w:val="0"/>
          <w:sz w:val="24"/>
          <w:szCs w:val="24"/>
          <w:lang w:eastAsia="pl-PL"/>
          <w14:ligatures w14:val="none"/>
        </w:rPr>
        <w:t>,</w:t>
      </w:r>
      <w:r w:rsidRPr="0012352D">
        <w:rPr>
          <w:rFonts w:ascii="Times New Roman" w:eastAsia="Times New Roman" w:hAnsi="Times New Roman" w:cs="Times New Roman"/>
          <w:bCs/>
          <w:kern w:val="0"/>
          <w:sz w:val="24"/>
          <w:szCs w:val="24"/>
          <w:lang w:eastAsia="pl-PL"/>
          <w14:ligatures w14:val="none"/>
        </w:rPr>
        <w:t xml:space="preserve"> i zostały transponowane do Prawa farmaceutycznego w postaci przepisów jej rozdziału 4. Jako takie przepisy te są w ocenie projektodawcy optymalną bazą dla proponowanych w projekcie rozwiązań.</w:t>
      </w:r>
    </w:p>
    <w:p w14:paraId="3620F9E4" w14:textId="4AEAF663"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Zachowano przy tym częściowy </w:t>
      </w:r>
      <w:r w:rsidRPr="0012352D">
        <w:rPr>
          <w:rFonts w:ascii="Times New Roman" w:eastAsia="Times New Roman" w:hAnsi="Times New Roman" w:cs="Times New Roman"/>
          <w:bCs/>
          <w:i/>
          <w:iCs/>
          <w:kern w:val="0"/>
          <w:sz w:val="24"/>
          <w:szCs w:val="24"/>
          <w:lang w:eastAsia="pl-PL"/>
          <w14:ligatures w14:val="none"/>
        </w:rPr>
        <w:t>status quo</w:t>
      </w:r>
      <w:r w:rsidRPr="0012352D">
        <w:rPr>
          <w:rFonts w:ascii="Times New Roman" w:eastAsia="Times New Roman" w:hAnsi="Times New Roman" w:cs="Times New Roman"/>
          <w:bCs/>
          <w:kern w:val="0"/>
          <w:sz w:val="24"/>
          <w:szCs w:val="24"/>
          <w:lang w:eastAsia="pl-PL"/>
          <w14:ligatures w14:val="none"/>
        </w:rPr>
        <w:t xml:space="preserve"> w odniesieniu do rozwiązań związanych z zakazem prowadzenia reklamy podmiotów nieaptecznych (placówek obrotu pozaaptecznego) odnoszących się do produktów leczniczych. Projektodawca uznał za zasadne usunięcie zakazu reklamy placówek obrotu pozaaptecznego w odniesieniu do wyrobów medycznych, albowiem wyroby medyczne podlegają pod inny reżim prawny, określony w ustawie z dnia 7 kwietnia 2022 r. o wyrobach medycznych (Dz. U. z 2024 r. poz. 1620). W art. 54 i </w:t>
      </w:r>
      <w:r w:rsidR="0005430C">
        <w:rPr>
          <w:rFonts w:ascii="Times New Roman" w:eastAsia="Times New Roman" w:hAnsi="Times New Roman" w:cs="Times New Roman"/>
          <w:bCs/>
          <w:kern w:val="0"/>
          <w:sz w:val="24"/>
          <w:szCs w:val="24"/>
          <w:lang w:eastAsia="pl-PL"/>
          <w14:ligatures w14:val="none"/>
        </w:rPr>
        <w:t xml:space="preserve">art. </w:t>
      </w:r>
      <w:r w:rsidRPr="0012352D">
        <w:rPr>
          <w:rFonts w:ascii="Times New Roman" w:eastAsia="Times New Roman" w:hAnsi="Times New Roman" w:cs="Times New Roman"/>
          <w:bCs/>
          <w:kern w:val="0"/>
          <w:sz w:val="24"/>
          <w:szCs w:val="24"/>
          <w:lang w:eastAsia="pl-PL"/>
          <w14:ligatures w14:val="none"/>
        </w:rPr>
        <w:t xml:space="preserve">55 ww. ustawy są określone zasady reklamy wyrobów medycznych, zatem niezasadne jest regulowanie reklamy placówek obrotu pozaaptecznego w stosunku do wyrobów medycznych w ustawie </w:t>
      </w:r>
      <w:r w:rsidR="0005430C">
        <w:rPr>
          <w:rFonts w:ascii="Times New Roman" w:eastAsia="Times New Roman" w:hAnsi="Times New Roman" w:cs="Times New Roman"/>
          <w:bCs/>
          <w:kern w:val="0"/>
          <w:sz w:val="24"/>
          <w:szCs w:val="24"/>
          <w:lang w:eastAsia="pl-PL"/>
          <w14:ligatures w14:val="none"/>
        </w:rPr>
        <w:t xml:space="preserve">– </w:t>
      </w:r>
      <w:r w:rsidRPr="0012352D">
        <w:rPr>
          <w:rFonts w:ascii="Times New Roman" w:eastAsia="Times New Roman" w:hAnsi="Times New Roman" w:cs="Times New Roman"/>
          <w:bCs/>
          <w:kern w:val="0"/>
          <w:sz w:val="24"/>
          <w:szCs w:val="24"/>
          <w:lang w:eastAsia="pl-PL"/>
          <w14:ligatures w14:val="none"/>
        </w:rPr>
        <w:t xml:space="preserve">Prawo farmaceutyczne. </w:t>
      </w:r>
    </w:p>
    <w:p w14:paraId="2A1F71CD" w14:textId="5C198454"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lastRenderedPageBreak/>
        <w:t>W projekcie ustawy proponuje się podwyższenie maksymalnej wysokości kary za naruszenie zasad prowadzenia reklamy. Obecnie jest to 50 000 zł. Proponuje się podwyższenie tej wartości do poziomu 100 000 zł. Jeżeliby oceniać wysokość administracyjnej kary pieniężnej nakładanej na przedsiębiorcę w relacji do wysokości przeciętnego miesięcznego wynagrodzenia w sektorze przedsiębiorstw, wynoszącej obecnie ponad 9045 zł, to kwotę 50 000 zł, stanowiącej około 5,5-krotność tego wynagrodzenia, należałoby uznać za karę niewygórowaną, której stopień dotkliwości i prewencji jest niewielki (głównie w relacji do wysokości potencjalnych zysków z prowadzenia reklamy z naruszeniem obowiązujących przepisów). Należy mieć na uwadze, że karę w dotychczasowej wysokości wprowadzono do art. 129b Prawa farmaceutycznego równocześnie z zakazem reklamy aptek, punktów aptecznych oraz ich działalności, w art. 94a tej ustawy. Kara ta funkcjonuje od dnia 1 stycznia 2012 r. i przez ten czas (ponad 13 lat) nie była podwyższana. Jednocześnie w czasie wprowadzania ww. rozwiązań wysokość przeciętnego miesięcznego wynagrodzenia w sektorze przedsiębiorstw oscylowała w granicach 3700 zł i była prawie 2,5-krotnie niższa niż obecnie. Ponadto, w związku z planowanym zniesieniem całkowitego zakazu reklamy aptek, wzrost kary ma równoważyć większą swobodę przedsiębiorców i chronić pacjentów przed nadużyciami. Funkcją kary ma być odstraszanie od działań niezgodnych z przepisami, zwłaszcza gdy potencjalne zyski z reklamy aptek mogą znacznie przewyższyć karę.</w:t>
      </w:r>
    </w:p>
    <w:p w14:paraId="135D9460" w14:textId="59F67A15"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Mając na uwadze powyższe oraz fakt, iż w projekcie proponuje się znaczące zliberalizowanie przepisów dotyczących omawianej reklamy, dwukrotne zwiększenie maksymalnej możliwej wysokości kary pieniężnej za naruszenie przepisów regulujących tę reklamę jest uzasadnione. </w:t>
      </w:r>
    </w:p>
    <w:p w14:paraId="0811E49F"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Uzasadnione jest zawarcie w projektowanej ustawie przepisu przejściowego, zgodnie z którym postępowania administracyjne wszczęte na podstawie dotychczasowych przepisów Prawa farmaceutycznego i niezakończone do dnia wejścia w życie niniejszej ustawy podlegają umorzeniu z uwagi na uchylenie zakazu reklamy. </w:t>
      </w:r>
    </w:p>
    <w:p w14:paraId="317C4EA7"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Projektowana ustawa wejdzie w życie po upływie 14 dni od dnia ogłoszenia. </w:t>
      </w:r>
    </w:p>
    <w:p w14:paraId="08E21A90" w14:textId="5FB66339"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Projektowana ustawa będzie miała wpływ na sektor mikro-, małych lub średnich przedsiębiorców. Duża część podmiotów prowadzących apteki albo punkty apteczne jest prowadzona przez przedsiębiorców ww. kategorii wielkościowych. Wpływ projektu na podmioty przejawi się w umożliwieniu prowadzenia reklamy tych placówek oraz ich działalności na zasadach określonych w projekcie. Stanowi to zdecydowane zliberalizowanie wymagań względem tego rodzaju przedsiębiorców, biorąc pod uwagę, że sanuje się stan, </w:t>
      </w:r>
      <w:r w:rsidRPr="0012352D">
        <w:rPr>
          <w:rFonts w:ascii="Times New Roman" w:eastAsia="Times New Roman" w:hAnsi="Times New Roman" w:cs="Times New Roman"/>
          <w:bCs/>
          <w:kern w:val="0"/>
          <w:sz w:val="24"/>
          <w:szCs w:val="24"/>
          <w:lang w:eastAsia="pl-PL"/>
          <w14:ligatures w14:val="none"/>
        </w:rPr>
        <w:lastRenderedPageBreak/>
        <w:t>w którym istniał zakaz reklamy ww. placówek oraz ich działalności i miał on charakter bezwzględny.</w:t>
      </w:r>
    </w:p>
    <w:p w14:paraId="6521BB23"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Projektowana ustawa nie jest sprzeczna z przepisami prawa Unii Europejskiej. Projektowana ustawa, jak wskazano wyżej, jest wynikiem wyroku TSUE, który stwierdził niezgodność krajowych regulacji z prawem Unii Europejskiej, a zawarte w projekcie rozwiązania zmierzają do usunięcia stanu tej niezgodności i wdrożenia ww. wyroku.</w:t>
      </w:r>
    </w:p>
    <w:p w14:paraId="5A1509BA" w14:textId="77777777"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 xml:space="preserve">Projektowana ustawa nie wymaga przedłożenia właściwym instytucjom i organom Unii Europejskiej, w tym Europejskiemu Bankowi Centralnemu, w celu uzyskania opinii, dokonania powiadomienia, konsultacji albo uzgodnienia. </w:t>
      </w:r>
    </w:p>
    <w:p w14:paraId="74230081" w14:textId="73097B9D"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Projektowana ustawa nie zawiera przepisów technicznych i w związku z tym nie podlega procedurze notyfikacji w rozumieniu przepisów rozporządzenia Rady Ministrów z dnia 23</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grudnia 2002 r. w sprawie sposobu funkcjonowania krajowego systemu notyfikacji norm i aktów prawnych (Dz. U. poz. 2039 oraz z 2004 r. poz. 597).</w:t>
      </w:r>
    </w:p>
    <w:p w14:paraId="7DD75031" w14:textId="4DD8242E"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Projektowana ustawa nie zawiera wymogów nakładanych na usługodawców podlegających notyfikacji, o której mowa w art. 15 ust. 7 i art. 39 ust. 5 dyrektywy 2006/123/WE Parlamentu Europejskiego i Rady z dnia 12 grudnia 2006 r. dotyczącej usług na rynku wewnętrznym (Dz.</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Urz. UE L 376 z 27.12.2006, str. 36).</w:t>
      </w:r>
    </w:p>
    <w:p w14:paraId="482C6767" w14:textId="77F0D325" w:rsidR="001C6147" w:rsidRPr="0012352D" w:rsidRDefault="001C6147" w:rsidP="0012352D">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12352D">
        <w:rPr>
          <w:rFonts w:ascii="Times New Roman" w:eastAsia="Times New Roman" w:hAnsi="Times New Roman" w:cs="Times New Roman"/>
          <w:bCs/>
          <w:kern w:val="0"/>
          <w:sz w:val="24"/>
          <w:szCs w:val="24"/>
          <w:lang w:eastAsia="pl-PL"/>
          <w14:ligatures w14:val="none"/>
        </w:rPr>
        <w:t>Projektowana ustawa nie wywiera wpływu na obszar danych osobowych. W związku z tym nie przeprowadzono oceny skutków dla ochrony danych osobowych, o której mowa w art. 35 ust.</w:t>
      </w:r>
      <w:r w:rsidR="003F3F5D">
        <w:rPr>
          <w:rFonts w:ascii="Times New Roman" w:eastAsia="Times New Roman" w:hAnsi="Times New Roman" w:cs="Times New Roman"/>
          <w:bCs/>
          <w:kern w:val="0"/>
          <w:sz w:val="24"/>
          <w:szCs w:val="24"/>
          <w:lang w:eastAsia="pl-PL"/>
          <w14:ligatures w14:val="none"/>
        </w:rPr>
        <w:t> </w:t>
      </w:r>
      <w:r w:rsidRPr="0012352D">
        <w:rPr>
          <w:rFonts w:ascii="Times New Roman" w:eastAsia="Times New Roman" w:hAnsi="Times New Roman" w:cs="Times New Roman"/>
          <w:bCs/>
          <w:kern w:val="0"/>
          <w:sz w:val="24"/>
          <w:szCs w:val="24"/>
          <w:lang w:eastAsia="pl-PL"/>
          <w14:ligatures w14:val="none"/>
        </w:rPr>
        <w:t>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w:t>
      </w:r>
    </w:p>
    <w:p w14:paraId="4EEF4222" w14:textId="17C245DC" w:rsidR="00D35313" w:rsidRPr="0012352D" w:rsidRDefault="001C6147" w:rsidP="0012352D">
      <w:pPr>
        <w:spacing w:before="120" w:after="0" w:line="360" w:lineRule="auto"/>
        <w:rPr>
          <w:rFonts w:ascii="Times New Roman" w:hAnsi="Times New Roman" w:cs="Times New Roman"/>
          <w:sz w:val="24"/>
          <w:szCs w:val="24"/>
        </w:rPr>
      </w:pPr>
      <w:r w:rsidRPr="0012352D">
        <w:rPr>
          <w:rFonts w:ascii="Times New Roman" w:eastAsia="Times New Roman" w:hAnsi="Times New Roman" w:cs="Times New Roman"/>
          <w:bCs/>
          <w:kern w:val="0"/>
          <w:sz w:val="24"/>
          <w:szCs w:val="24"/>
          <w:lang w:eastAsia="pl-PL"/>
          <w14:ligatures w14:val="none"/>
        </w:rPr>
        <w:t xml:space="preserve">Jednocześnie należy wskazać, że nie ma możliwości podjęcia alternatywnych w stosunku do projektowanej ustawy środków umożliwiających osiągnięcie zamierzonego celu. </w:t>
      </w:r>
    </w:p>
    <w:sectPr w:rsidR="00D35313" w:rsidRPr="0012352D" w:rsidSect="0012352D">
      <w:footerReference w:type="default" r:id="rId6"/>
      <w:footnotePr>
        <w:numRestart w:val="eachSect"/>
      </w:footnotePr>
      <w:pgSz w:w="11906" w:h="16838"/>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92C2" w14:textId="77777777" w:rsidR="00AB10A6" w:rsidRDefault="00AB10A6" w:rsidP="00E11B64">
      <w:pPr>
        <w:spacing w:after="0" w:line="240" w:lineRule="auto"/>
      </w:pPr>
      <w:r>
        <w:separator/>
      </w:r>
    </w:p>
  </w:endnote>
  <w:endnote w:type="continuationSeparator" w:id="0">
    <w:p w14:paraId="33024692" w14:textId="77777777" w:rsidR="00AB10A6" w:rsidRDefault="00AB10A6" w:rsidP="00E11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073758"/>
      <w:docPartObj>
        <w:docPartGallery w:val="Page Numbers (Bottom of Page)"/>
        <w:docPartUnique/>
      </w:docPartObj>
    </w:sdtPr>
    <w:sdtEndPr>
      <w:rPr>
        <w:rFonts w:ascii="Times New Roman" w:hAnsi="Times New Roman" w:cs="Times New Roman"/>
        <w:sz w:val="24"/>
        <w:szCs w:val="24"/>
      </w:rPr>
    </w:sdtEndPr>
    <w:sdtContent>
      <w:p w14:paraId="70F2A740" w14:textId="23B22B6C" w:rsidR="00E11B64" w:rsidRPr="00E11B64" w:rsidRDefault="00E11B64" w:rsidP="00E11B64">
        <w:pPr>
          <w:pStyle w:val="Stopka"/>
          <w:jc w:val="center"/>
          <w:rPr>
            <w:rFonts w:ascii="Times New Roman" w:hAnsi="Times New Roman" w:cs="Times New Roman"/>
            <w:sz w:val="24"/>
            <w:szCs w:val="24"/>
          </w:rPr>
        </w:pPr>
        <w:r w:rsidRPr="00E11B64">
          <w:rPr>
            <w:rFonts w:ascii="Times New Roman" w:hAnsi="Times New Roman" w:cs="Times New Roman"/>
            <w:sz w:val="24"/>
            <w:szCs w:val="24"/>
          </w:rPr>
          <w:fldChar w:fldCharType="begin"/>
        </w:r>
        <w:r w:rsidRPr="00E11B64">
          <w:rPr>
            <w:rFonts w:ascii="Times New Roman" w:hAnsi="Times New Roman" w:cs="Times New Roman"/>
            <w:sz w:val="24"/>
            <w:szCs w:val="24"/>
          </w:rPr>
          <w:instrText>PAGE   \* MERGEFORMAT</w:instrText>
        </w:r>
        <w:r w:rsidRPr="00E11B64">
          <w:rPr>
            <w:rFonts w:ascii="Times New Roman" w:hAnsi="Times New Roman" w:cs="Times New Roman"/>
            <w:sz w:val="24"/>
            <w:szCs w:val="24"/>
          </w:rPr>
          <w:fldChar w:fldCharType="separate"/>
        </w:r>
        <w:r w:rsidRPr="00E11B64">
          <w:rPr>
            <w:rFonts w:ascii="Times New Roman" w:hAnsi="Times New Roman" w:cs="Times New Roman"/>
            <w:sz w:val="24"/>
            <w:szCs w:val="24"/>
          </w:rPr>
          <w:t>2</w:t>
        </w:r>
        <w:r w:rsidRPr="00E11B6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E498" w14:textId="77777777" w:rsidR="00AB10A6" w:rsidRDefault="00AB10A6" w:rsidP="00E11B64">
      <w:pPr>
        <w:spacing w:after="0" w:line="240" w:lineRule="auto"/>
      </w:pPr>
      <w:r>
        <w:separator/>
      </w:r>
    </w:p>
  </w:footnote>
  <w:footnote w:type="continuationSeparator" w:id="0">
    <w:p w14:paraId="5BF1D896" w14:textId="77777777" w:rsidR="00AB10A6" w:rsidRDefault="00AB10A6" w:rsidP="00E11B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147"/>
    <w:rsid w:val="00003073"/>
    <w:rsid w:val="00043701"/>
    <w:rsid w:val="0005430C"/>
    <w:rsid w:val="000F5B1E"/>
    <w:rsid w:val="0012352D"/>
    <w:rsid w:val="001A2CA1"/>
    <w:rsid w:val="001C6147"/>
    <w:rsid w:val="001C7269"/>
    <w:rsid w:val="002A5923"/>
    <w:rsid w:val="002B7793"/>
    <w:rsid w:val="002B7B25"/>
    <w:rsid w:val="002C51A8"/>
    <w:rsid w:val="00317113"/>
    <w:rsid w:val="00391A62"/>
    <w:rsid w:val="003B1C54"/>
    <w:rsid w:val="003E454A"/>
    <w:rsid w:val="003E4798"/>
    <w:rsid w:val="003F3F5D"/>
    <w:rsid w:val="00405DE9"/>
    <w:rsid w:val="004A20DE"/>
    <w:rsid w:val="004A2E3E"/>
    <w:rsid w:val="00507624"/>
    <w:rsid w:val="005102EF"/>
    <w:rsid w:val="005424C4"/>
    <w:rsid w:val="00553A52"/>
    <w:rsid w:val="005564F9"/>
    <w:rsid w:val="00561C32"/>
    <w:rsid w:val="005B4330"/>
    <w:rsid w:val="005C5F15"/>
    <w:rsid w:val="00605302"/>
    <w:rsid w:val="00617CF1"/>
    <w:rsid w:val="00625467"/>
    <w:rsid w:val="00633AFE"/>
    <w:rsid w:val="00663CE6"/>
    <w:rsid w:val="006676BE"/>
    <w:rsid w:val="00671620"/>
    <w:rsid w:val="006C4CB3"/>
    <w:rsid w:val="006D15F8"/>
    <w:rsid w:val="006E17DF"/>
    <w:rsid w:val="007016EA"/>
    <w:rsid w:val="007247F9"/>
    <w:rsid w:val="00763DDB"/>
    <w:rsid w:val="007E016F"/>
    <w:rsid w:val="007E69B7"/>
    <w:rsid w:val="007F61E0"/>
    <w:rsid w:val="00894286"/>
    <w:rsid w:val="008E57E1"/>
    <w:rsid w:val="008F6567"/>
    <w:rsid w:val="00900797"/>
    <w:rsid w:val="009260F1"/>
    <w:rsid w:val="009401CC"/>
    <w:rsid w:val="00A04CEB"/>
    <w:rsid w:val="00A61173"/>
    <w:rsid w:val="00A6414C"/>
    <w:rsid w:val="00AA1664"/>
    <w:rsid w:val="00AB10A6"/>
    <w:rsid w:val="00AD3C65"/>
    <w:rsid w:val="00C324E7"/>
    <w:rsid w:val="00C33664"/>
    <w:rsid w:val="00C806D8"/>
    <w:rsid w:val="00CA13EB"/>
    <w:rsid w:val="00CF714D"/>
    <w:rsid w:val="00D21D86"/>
    <w:rsid w:val="00D35313"/>
    <w:rsid w:val="00DD3F2F"/>
    <w:rsid w:val="00E01172"/>
    <w:rsid w:val="00E04866"/>
    <w:rsid w:val="00E11B64"/>
    <w:rsid w:val="00E55A2E"/>
    <w:rsid w:val="00EF4E1E"/>
    <w:rsid w:val="00F1230A"/>
    <w:rsid w:val="00F57638"/>
    <w:rsid w:val="00F64F78"/>
    <w:rsid w:val="00F81547"/>
    <w:rsid w:val="00FB55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64B1"/>
  <w15:chartTrackingRefBased/>
  <w15:docId w15:val="{57141CD0-4DAE-4BE3-A00A-2954755E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C6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C6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C61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C61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C61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C61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C61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C61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C61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C6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C6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C6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C6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C6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C6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C6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C6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C6147"/>
    <w:rPr>
      <w:rFonts w:eastAsiaTheme="majorEastAsia" w:cstheme="majorBidi"/>
      <w:color w:val="272727" w:themeColor="text1" w:themeTint="D8"/>
    </w:rPr>
  </w:style>
  <w:style w:type="paragraph" w:styleId="Tytu">
    <w:name w:val="Title"/>
    <w:basedOn w:val="Normalny"/>
    <w:next w:val="Normalny"/>
    <w:link w:val="TytuZnak"/>
    <w:uiPriority w:val="10"/>
    <w:qFormat/>
    <w:rsid w:val="001C6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C6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C61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C6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C6147"/>
    <w:pPr>
      <w:spacing w:before="160"/>
      <w:jc w:val="center"/>
    </w:pPr>
    <w:rPr>
      <w:i/>
      <w:iCs/>
      <w:color w:val="404040" w:themeColor="text1" w:themeTint="BF"/>
    </w:rPr>
  </w:style>
  <w:style w:type="character" w:customStyle="1" w:styleId="CytatZnak">
    <w:name w:val="Cytat Znak"/>
    <w:basedOn w:val="Domylnaczcionkaakapitu"/>
    <w:link w:val="Cytat"/>
    <w:uiPriority w:val="29"/>
    <w:rsid w:val="001C6147"/>
    <w:rPr>
      <w:i/>
      <w:iCs/>
      <w:color w:val="404040" w:themeColor="text1" w:themeTint="BF"/>
    </w:rPr>
  </w:style>
  <w:style w:type="paragraph" w:styleId="Akapitzlist">
    <w:name w:val="List Paragraph"/>
    <w:basedOn w:val="Normalny"/>
    <w:uiPriority w:val="34"/>
    <w:qFormat/>
    <w:rsid w:val="001C6147"/>
    <w:pPr>
      <w:ind w:left="720"/>
      <w:contextualSpacing/>
    </w:pPr>
  </w:style>
  <w:style w:type="character" w:styleId="Wyrnienieintensywne">
    <w:name w:val="Intense Emphasis"/>
    <w:basedOn w:val="Domylnaczcionkaakapitu"/>
    <w:uiPriority w:val="21"/>
    <w:qFormat/>
    <w:rsid w:val="001C6147"/>
    <w:rPr>
      <w:i/>
      <w:iCs/>
      <w:color w:val="0F4761" w:themeColor="accent1" w:themeShade="BF"/>
    </w:rPr>
  </w:style>
  <w:style w:type="paragraph" w:styleId="Cytatintensywny">
    <w:name w:val="Intense Quote"/>
    <w:basedOn w:val="Normalny"/>
    <w:next w:val="Normalny"/>
    <w:link w:val="CytatintensywnyZnak"/>
    <w:uiPriority w:val="30"/>
    <w:qFormat/>
    <w:rsid w:val="001C6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C6147"/>
    <w:rPr>
      <w:i/>
      <w:iCs/>
      <w:color w:val="0F4761" w:themeColor="accent1" w:themeShade="BF"/>
    </w:rPr>
  </w:style>
  <w:style w:type="character" w:styleId="Odwoanieintensywne">
    <w:name w:val="Intense Reference"/>
    <w:basedOn w:val="Domylnaczcionkaakapitu"/>
    <w:uiPriority w:val="32"/>
    <w:qFormat/>
    <w:rsid w:val="001C6147"/>
    <w:rPr>
      <w:b/>
      <w:bCs/>
      <w:smallCaps/>
      <w:color w:val="0F4761" w:themeColor="accent1" w:themeShade="BF"/>
      <w:spacing w:val="5"/>
    </w:rPr>
  </w:style>
  <w:style w:type="paragraph" w:styleId="Nagwek">
    <w:name w:val="header"/>
    <w:basedOn w:val="Normalny"/>
    <w:link w:val="NagwekZnak"/>
    <w:uiPriority w:val="99"/>
    <w:unhideWhenUsed/>
    <w:rsid w:val="001C61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6147"/>
  </w:style>
  <w:style w:type="paragraph" w:styleId="Poprawka">
    <w:name w:val="Revision"/>
    <w:hidden/>
    <w:uiPriority w:val="99"/>
    <w:semiHidden/>
    <w:rsid w:val="00633AFE"/>
    <w:pPr>
      <w:spacing w:after="0" w:line="240" w:lineRule="auto"/>
    </w:pPr>
  </w:style>
  <w:style w:type="paragraph" w:styleId="Stopka">
    <w:name w:val="footer"/>
    <w:basedOn w:val="Normalny"/>
    <w:link w:val="StopkaZnak"/>
    <w:uiPriority w:val="99"/>
    <w:unhideWhenUsed/>
    <w:rsid w:val="00E11B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1B64"/>
  </w:style>
  <w:style w:type="character" w:styleId="Odwoaniedokomentarza">
    <w:name w:val="annotation reference"/>
    <w:basedOn w:val="Domylnaczcionkaakapitu"/>
    <w:uiPriority w:val="99"/>
    <w:semiHidden/>
    <w:unhideWhenUsed/>
    <w:rsid w:val="00561C32"/>
    <w:rPr>
      <w:sz w:val="16"/>
      <w:szCs w:val="16"/>
    </w:rPr>
  </w:style>
  <w:style w:type="paragraph" w:styleId="Tekstkomentarza">
    <w:name w:val="annotation text"/>
    <w:basedOn w:val="Normalny"/>
    <w:link w:val="TekstkomentarzaZnak"/>
    <w:uiPriority w:val="99"/>
    <w:unhideWhenUsed/>
    <w:rsid w:val="00561C32"/>
    <w:pPr>
      <w:spacing w:line="240" w:lineRule="auto"/>
    </w:pPr>
    <w:rPr>
      <w:sz w:val="20"/>
      <w:szCs w:val="20"/>
    </w:rPr>
  </w:style>
  <w:style w:type="character" w:customStyle="1" w:styleId="TekstkomentarzaZnak">
    <w:name w:val="Tekst komentarza Znak"/>
    <w:basedOn w:val="Domylnaczcionkaakapitu"/>
    <w:link w:val="Tekstkomentarza"/>
    <w:uiPriority w:val="99"/>
    <w:rsid w:val="00561C32"/>
    <w:rPr>
      <w:sz w:val="20"/>
      <w:szCs w:val="20"/>
    </w:rPr>
  </w:style>
  <w:style w:type="paragraph" w:styleId="Tematkomentarza">
    <w:name w:val="annotation subject"/>
    <w:basedOn w:val="Tekstkomentarza"/>
    <w:next w:val="Tekstkomentarza"/>
    <w:link w:val="TematkomentarzaZnak"/>
    <w:uiPriority w:val="99"/>
    <w:semiHidden/>
    <w:unhideWhenUsed/>
    <w:rsid w:val="00561C32"/>
    <w:rPr>
      <w:b/>
      <w:bCs/>
    </w:rPr>
  </w:style>
  <w:style w:type="character" w:customStyle="1" w:styleId="TematkomentarzaZnak">
    <w:name w:val="Temat komentarza Znak"/>
    <w:basedOn w:val="TekstkomentarzaZnak"/>
    <w:link w:val="Tematkomentarza"/>
    <w:uiPriority w:val="99"/>
    <w:semiHidden/>
    <w:rsid w:val="00561C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4100</Words>
  <Characters>24604</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Wójcik Aleksandra</cp:lastModifiedBy>
  <cp:revision>3</cp:revision>
  <dcterms:created xsi:type="dcterms:W3CDTF">2026-08-05T07:13:00Z</dcterms:created>
  <dcterms:modified xsi:type="dcterms:W3CDTF">2026-08-05T07:15:00Z</dcterms:modified>
</cp:coreProperties>
</file>