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73B89" w14:textId="77777777" w:rsidR="005F0841" w:rsidRPr="001E6F49" w:rsidRDefault="00007936" w:rsidP="00192DF5">
      <w:pPr>
        <w:pStyle w:val="CZKSIGAoznaczenieiprzedmiotczcilubksigi"/>
        <w:spacing w:before="0" w:after="120" w:line="360" w:lineRule="auto"/>
        <w:rPr>
          <w:rFonts w:ascii="Times New Roman" w:hAnsi="Times New Roman"/>
          <w:b w:val="0"/>
          <w:bCs w:val="0"/>
        </w:rPr>
      </w:pPr>
      <w:r w:rsidRPr="001E6F49">
        <w:rPr>
          <w:rFonts w:ascii="Times New Roman" w:hAnsi="Times New Roman"/>
          <w:b w:val="0"/>
          <w:bCs w:val="0"/>
        </w:rPr>
        <w:t>UZASADNIENIE</w:t>
      </w:r>
    </w:p>
    <w:p w14:paraId="6563F70B" w14:textId="77777777" w:rsidR="005F0841" w:rsidRPr="00192DF5" w:rsidRDefault="00007936" w:rsidP="00192DF5">
      <w:pPr>
        <w:spacing w:after="120" w:line="360" w:lineRule="auto"/>
        <w:jc w:val="both"/>
        <w:rPr>
          <w:rFonts w:ascii="Times New Roman" w:hAnsi="Times New Roman" w:cs="Times New Roman"/>
          <w:b/>
        </w:rPr>
      </w:pPr>
      <w:r w:rsidRPr="00192DF5">
        <w:rPr>
          <w:rFonts w:ascii="Times New Roman" w:hAnsi="Times New Roman" w:cs="Times New Roman"/>
          <w:b/>
        </w:rPr>
        <w:t>I. Wprowadzenie</w:t>
      </w:r>
    </w:p>
    <w:p w14:paraId="47096000" w14:textId="78AE6FD7"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t xml:space="preserve">Projekt ustawy o zmianie ustawy o finansowym wspieraniu produkcji audiowizualnej oraz niektórych innych ustaw, zwany dalej „projektem ustawy”, ma na celu wprowadzenie do polskiego porządku prawnego rozwiązań </w:t>
      </w:r>
      <w:proofErr w:type="spellStart"/>
      <w:r w:rsidRPr="00192DF5">
        <w:rPr>
          <w:rFonts w:ascii="Times New Roman" w:hAnsi="Times New Roman" w:cs="Times New Roman"/>
        </w:rPr>
        <w:t>deregulacyjnych</w:t>
      </w:r>
      <w:proofErr w:type="spellEnd"/>
      <w:r w:rsidRPr="00192DF5">
        <w:rPr>
          <w:rFonts w:ascii="Times New Roman" w:hAnsi="Times New Roman" w:cs="Times New Roman"/>
        </w:rPr>
        <w:t xml:space="preserve"> wypracowanych jako efekt spotkań </w:t>
      </w:r>
      <w:proofErr w:type="spellStart"/>
      <w:r w:rsidRPr="00192DF5">
        <w:rPr>
          <w:rFonts w:ascii="Times New Roman" w:hAnsi="Times New Roman" w:cs="Times New Roman"/>
        </w:rPr>
        <w:t>Ministry</w:t>
      </w:r>
      <w:proofErr w:type="spellEnd"/>
      <w:r w:rsidRPr="00192DF5">
        <w:rPr>
          <w:rFonts w:ascii="Times New Roman" w:hAnsi="Times New Roman" w:cs="Times New Roman"/>
        </w:rPr>
        <w:t xml:space="preserve"> Kultury i Dziedzictwa Narodowego ze środowiskiem filmowym, prowadzonych od grudnia 2024 r. do chwili obecnej. Projekt stanowi pierwszy etap realizacji </w:t>
      </w:r>
      <w:r w:rsidRPr="00192DF5">
        <w:rPr>
          <w:rFonts w:ascii="Times New Roman" w:hAnsi="Times New Roman" w:cs="Times New Roman"/>
          <w:i/>
        </w:rPr>
        <w:t>Planu Działań na rzecz polskiej kinematografii</w:t>
      </w:r>
      <w:r w:rsidRPr="00192DF5">
        <w:rPr>
          <w:rFonts w:ascii="Times New Roman" w:hAnsi="Times New Roman" w:cs="Times New Roman"/>
        </w:rPr>
        <w:t>, ogłoszonego w Senacie RP. Projekt przewiduje uproszczenie procedur i zwalczanie negatywnych zjawisk w dziedzinie produkcji audiowizualnej. Środki pomocowe dla filmowców powinny być łatwiej dostępne i zapewnione na kolejne lata, a</w:t>
      </w:r>
      <w:r w:rsidR="00CA713E">
        <w:rPr>
          <w:rFonts w:ascii="Times New Roman" w:hAnsi="Times New Roman" w:cs="Times New Roman"/>
        </w:rPr>
        <w:t> </w:t>
      </w:r>
      <w:r w:rsidRPr="00192DF5">
        <w:rPr>
          <w:rFonts w:ascii="Times New Roman" w:hAnsi="Times New Roman" w:cs="Times New Roman"/>
        </w:rPr>
        <w:t>obowiązki regulacyjne nie mogą stanowić bariery w ich pozyskaniu.</w:t>
      </w:r>
    </w:p>
    <w:p w14:paraId="4DB4B545" w14:textId="3FE9035E"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t xml:space="preserve">Warto podkreślić, że kinematografia to branża rosnąca. </w:t>
      </w:r>
      <w:r w:rsidR="00646BBF" w:rsidRPr="00192DF5">
        <w:rPr>
          <w:rFonts w:ascii="Times New Roman" w:hAnsi="Times New Roman" w:cs="Times New Roman"/>
        </w:rPr>
        <w:t>W</w:t>
      </w:r>
      <w:r w:rsidRPr="00192DF5">
        <w:rPr>
          <w:rFonts w:ascii="Times New Roman" w:hAnsi="Times New Roman" w:cs="Times New Roman"/>
        </w:rPr>
        <w:t>zrost</w:t>
      </w:r>
      <w:r w:rsidR="00646BBF" w:rsidRPr="00192DF5">
        <w:rPr>
          <w:rFonts w:ascii="Times New Roman" w:hAnsi="Times New Roman" w:cs="Times New Roman"/>
        </w:rPr>
        <w:t xml:space="preserve"> jej</w:t>
      </w:r>
      <w:r w:rsidRPr="00192DF5">
        <w:rPr>
          <w:rFonts w:ascii="Times New Roman" w:hAnsi="Times New Roman" w:cs="Times New Roman"/>
        </w:rPr>
        <w:t xml:space="preserve"> znaczenia dla gospodarki potwierdzają dane zawarte w raporcie firmy </w:t>
      </w:r>
      <w:proofErr w:type="spellStart"/>
      <w:r w:rsidRPr="00192DF5">
        <w:rPr>
          <w:rFonts w:ascii="Times New Roman" w:hAnsi="Times New Roman" w:cs="Times New Roman"/>
        </w:rPr>
        <w:t>Olsberg</w:t>
      </w:r>
      <w:proofErr w:type="spellEnd"/>
      <w:r w:rsidRPr="00192DF5">
        <w:rPr>
          <w:rFonts w:ascii="Times New Roman" w:hAnsi="Times New Roman" w:cs="Times New Roman"/>
        </w:rPr>
        <w:t xml:space="preserve"> &amp; SPI z 2023 r</w:t>
      </w:r>
      <w:r w:rsidR="00E03737" w:rsidRPr="00192DF5">
        <w:rPr>
          <w:rFonts w:ascii="Times New Roman" w:hAnsi="Times New Roman" w:cs="Times New Roman"/>
        </w:rPr>
        <w:t>.</w:t>
      </w:r>
      <w:r w:rsidRPr="00192DF5">
        <w:rPr>
          <w:rFonts w:ascii="Times New Roman" w:hAnsi="Times New Roman" w:cs="Times New Roman"/>
        </w:rPr>
        <w:t>, według którego w samym 2022 r</w:t>
      </w:r>
      <w:r w:rsidR="00A00174" w:rsidRPr="00192DF5">
        <w:rPr>
          <w:rFonts w:ascii="Times New Roman" w:hAnsi="Times New Roman" w:cs="Times New Roman"/>
        </w:rPr>
        <w:t>.</w:t>
      </w:r>
      <w:r w:rsidRPr="00192DF5">
        <w:rPr>
          <w:rFonts w:ascii="Times New Roman" w:hAnsi="Times New Roman" w:cs="Times New Roman"/>
        </w:rPr>
        <w:t xml:space="preserve"> producenci treści audiowizualnych (filmowych i telewizyjnych) wydali w Polsce co najmniej 2,5 miliarda złotych. Sektor ten wykazuje więc coraz większy potencjał ekonomiczny oraz zdolność do generowania miejsc pracy i wzrostu wartości dodanej w gospodarce.</w:t>
      </w:r>
    </w:p>
    <w:p w14:paraId="7C165B5A" w14:textId="1274D010" w:rsidR="00B73DB0" w:rsidRPr="00192DF5" w:rsidRDefault="00B73DB0" w:rsidP="00192DF5">
      <w:pPr>
        <w:spacing w:after="120" w:line="360" w:lineRule="auto"/>
        <w:jc w:val="both"/>
        <w:rPr>
          <w:rFonts w:ascii="Times New Roman" w:hAnsi="Times New Roman" w:cs="Times New Roman"/>
        </w:rPr>
      </w:pPr>
      <w:r w:rsidRPr="00192DF5">
        <w:rPr>
          <w:rFonts w:ascii="Times New Roman" w:hAnsi="Times New Roman" w:cs="Times New Roman"/>
        </w:rPr>
        <w:t>Jednocześnie raporty przygotowane przez Krajową Izbę Producentów Audiowizualnych (</w:t>
      </w:r>
      <w:r w:rsidR="00231749" w:rsidRPr="00192DF5">
        <w:rPr>
          <w:rFonts w:ascii="Times New Roman" w:hAnsi="Times New Roman" w:cs="Times New Roman"/>
        </w:rPr>
        <w:t xml:space="preserve">zwaną </w:t>
      </w:r>
      <w:r w:rsidRPr="00192DF5">
        <w:rPr>
          <w:rFonts w:ascii="Times New Roman" w:hAnsi="Times New Roman" w:cs="Times New Roman"/>
        </w:rPr>
        <w:t xml:space="preserve">dalej „KIPA”) &amp; </w:t>
      </w:r>
      <w:proofErr w:type="spellStart"/>
      <w:r w:rsidRPr="00192DF5">
        <w:rPr>
          <w:rFonts w:ascii="Times New Roman" w:hAnsi="Times New Roman" w:cs="Times New Roman"/>
        </w:rPr>
        <w:t>PwC</w:t>
      </w:r>
      <w:proofErr w:type="spellEnd"/>
      <w:r w:rsidRPr="00192DF5">
        <w:rPr>
          <w:rFonts w:ascii="Times New Roman" w:hAnsi="Times New Roman" w:cs="Times New Roman"/>
        </w:rPr>
        <w:t xml:space="preserve"> (Kondycja polskiego sektora niezależnej produkcji audiowizualnej) oraz Polski Instytut Sztuki Filmowej (zwany dalej „PISF”) &amp; KPMG (Wpływ programu zachęt </w:t>
      </w:r>
      <w:r w:rsidR="00192DF5">
        <w:rPr>
          <w:rFonts w:ascii="Times New Roman" w:hAnsi="Times New Roman" w:cs="Times New Roman"/>
        </w:rPr>
        <w:t>–</w:t>
      </w:r>
      <w:r w:rsidRPr="00192DF5">
        <w:rPr>
          <w:rFonts w:ascii="Times New Roman" w:hAnsi="Times New Roman" w:cs="Times New Roman"/>
        </w:rPr>
        <w:t xml:space="preserve"> Podsumowanie analizy i oceny wpływu programu na polską gospodarkę, rynek produkcji audiowizualnej oraz promocję wizerunku RP na świecie) wskazują na istotne bariery rozwoju – przede wszystkim utrudniony dostęp do finansowania oraz brak doświadczenia sektora bankowego w obsłudze specyfiki rynku filmowego. Blisko 85% producentów wskazuje trudności w pozyskaniu środków jako główną przeszkodę, natomiast prawie 80% mierzy się z problemami z płynnością finansową. Warto podkreślić, że średnioroczne zapotrzebowanie na kredyty pod dotacje i zachęty PISF, zgodnie z szacunkiem zawartym</w:t>
      </w:r>
      <w:r w:rsidR="00626C98" w:rsidRPr="00192DF5">
        <w:rPr>
          <w:rFonts w:ascii="Times New Roman" w:hAnsi="Times New Roman" w:cs="Times New Roman"/>
        </w:rPr>
        <w:t xml:space="preserve"> w raporcie KIPA &amp; </w:t>
      </w:r>
      <w:proofErr w:type="spellStart"/>
      <w:r w:rsidR="00626C98" w:rsidRPr="00192DF5">
        <w:rPr>
          <w:rFonts w:ascii="Times New Roman" w:hAnsi="Times New Roman" w:cs="Times New Roman"/>
        </w:rPr>
        <w:t>Pw</w:t>
      </w:r>
      <w:r w:rsidRPr="00192DF5">
        <w:rPr>
          <w:rFonts w:ascii="Times New Roman" w:hAnsi="Times New Roman" w:cs="Times New Roman"/>
        </w:rPr>
        <w:t>C</w:t>
      </w:r>
      <w:proofErr w:type="spellEnd"/>
      <w:r w:rsidRPr="00192DF5">
        <w:rPr>
          <w:rFonts w:ascii="Times New Roman" w:hAnsi="Times New Roman" w:cs="Times New Roman"/>
        </w:rPr>
        <w:t xml:space="preserve"> (Kondycja polskiego sektora niezależnej produkcji audiowizualnej)</w:t>
      </w:r>
      <w:r w:rsidR="00192DF5">
        <w:rPr>
          <w:rFonts w:ascii="Times New Roman" w:hAnsi="Times New Roman" w:cs="Times New Roman"/>
        </w:rPr>
        <w:t>,</w:t>
      </w:r>
      <w:r w:rsidRPr="00192DF5">
        <w:rPr>
          <w:rFonts w:ascii="Times New Roman" w:hAnsi="Times New Roman" w:cs="Times New Roman"/>
        </w:rPr>
        <w:t xml:space="preserve"> wynosi 107,2 mln złotych, co stanowi minimalny wskaźnik potencjalnego zainteresowania finansowaniem pomostowym. Kwota ta nie obejmuje jednak innych potrzeb producentów, dlatego rzeczywisty popyt na kredyt w sektorze produkcji audiowizualnej może być znacząco wyższy. Uwzględnienie tego aspektu w procesie legislacyjnym jest istotne z </w:t>
      </w:r>
      <w:r w:rsidRPr="00192DF5">
        <w:rPr>
          <w:rFonts w:ascii="Times New Roman" w:hAnsi="Times New Roman" w:cs="Times New Roman"/>
        </w:rPr>
        <w:lastRenderedPageBreak/>
        <w:t>punktu widzenia projektowania otoczenia regulacyjnego sprzyjającego płynnemu funkcjonowaniu rynku.</w:t>
      </w:r>
    </w:p>
    <w:p w14:paraId="598FF65A" w14:textId="31CD131D"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t>Deregulację wprowadzaną projekt</w:t>
      </w:r>
      <w:r w:rsidR="00537197" w:rsidRPr="00192DF5">
        <w:rPr>
          <w:rFonts w:ascii="Times New Roman" w:hAnsi="Times New Roman" w:cs="Times New Roman"/>
        </w:rPr>
        <w:t>em</w:t>
      </w:r>
      <w:r w:rsidRPr="00192DF5">
        <w:rPr>
          <w:rFonts w:ascii="Times New Roman" w:hAnsi="Times New Roman" w:cs="Times New Roman"/>
        </w:rPr>
        <w:t xml:space="preserve"> ustaw</w:t>
      </w:r>
      <w:r w:rsidR="00537197" w:rsidRPr="00192DF5">
        <w:rPr>
          <w:rFonts w:ascii="Times New Roman" w:hAnsi="Times New Roman" w:cs="Times New Roman"/>
        </w:rPr>
        <w:t>y</w:t>
      </w:r>
      <w:r w:rsidRPr="00192DF5">
        <w:rPr>
          <w:rFonts w:ascii="Times New Roman" w:hAnsi="Times New Roman" w:cs="Times New Roman"/>
        </w:rPr>
        <w:t xml:space="preserve"> należy postrzegać jako pierwszy krok w kierunku modernizacji systemu wspierania produkcji audiowizualnej</w:t>
      </w:r>
      <w:r w:rsidR="00537197" w:rsidRPr="00192DF5">
        <w:rPr>
          <w:rFonts w:ascii="Times New Roman" w:hAnsi="Times New Roman" w:cs="Times New Roman"/>
        </w:rPr>
        <w:t xml:space="preserve"> –</w:t>
      </w:r>
      <w:r w:rsidRPr="00192DF5">
        <w:rPr>
          <w:rFonts w:ascii="Times New Roman" w:hAnsi="Times New Roman" w:cs="Times New Roman"/>
        </w:rPr>
        <w:t xml:space="preserve"> uzupełniający i wzmacniający</w:t>
      </w:r>
      <w:r w:rsidR="00537197" w:rsidRPr="00192DF5">
        <w:rPr>
          <w:rFonts w:ascii="Times New Roman" w:hAnsi="Times New Roman" w:cs="Times New Roman"/>
        </w:rPr>
        <w:t>,</w:t>
      </w:r>
      <w:r w:rsidRPr="00192DF5">
        <w:rPr>
          <w:rFonts w:ascii="Times New Roman" w:hAnsi="Times New Roman" w:cs="Times New Roman"/>
        </w:rPr>
        <w:t xml:space="preserve"> działający z powodzeniem program zachęt finansowych. Zgodnie z danymi zawartymi w raporcie PISF&amp; KPMG</w:t>
      </w:r>
      <w:r w:rsidR="002F1A03" w:rsidRPr="00192DF5">
        <w:rPr>
          <w:rFonts w:ascii="Times New Roman" w:hAnsi="Times New Roman" w:cs="Times New Roman"/>
        </w:rPr>
        <w:t>,</w:t>
      </w:r>
      <w:r w:rsidRPr="00192DF5">
        <w:rPr>
          <w:rFonts w:ascii="Times New Roman" w:hAnsi="Times New Roman" w:cs="Times New Roman"/>
        </w:rPr>
        <w:t xml:space="preserve"> dotyczącym wpływu programu zachęt, każda wsparta produkcja przynosi średnio 26 mln zł brutto wartości dodanej do gospodarki, zaś w ramach tej kwoty ok</w:t>
      </w:r>
      <w:r w:rsidR="00537197" w:rsidRPr="00192DF5">
        <w:rPr>
          <w:rFonts w:ascii="Times New Roman" w:hAnsi="Times New Roman" w:cs="Times New Roman"/>
        </w:rPr>
        <w:t>.</w:t>
      </w:r>
      <w:r w:rsidRPr="00192DF5">
        <w:rPr>
          <w:rFonts w:ascii="Times New Roman" w:hAnsi="Times New Roman" w:cs="Times New Roman"/>
        </w:rPr>
        <w:t xml:space="preserve"> 5 mln zł stanowią wynagrodzenia. Każda wsparta produkcja generuje przeciętnie 200 miejsc pracy. Te liczby jednoznacznie wskazują, że</w:t>
      </w:r>
      <w:r w:rsidR="00C932B4" w:rsidRPr="00192DF5">
        <w:rPr>
          <w:rFonts w:ascii="Times New Roman" w:hAnsi="Times New Roman" w:cs="Times New Roman"/>
        </w:rPr>
        <w:t> </w:t>
      </w:r>
      <w:r w:rsidRPr="00192DF5">
        <w:rPr>
          <w:rFonts w:ascii="Times New Roman" w:hAnsi="Times New Roman" w:cs="Times New Roman"/>
        </w:rPr>
        <w:t>funkcjonowanie systemu zachęt ma realny, mierzalny i pozytywny wpływ na rozwój gospodarki – zarówno w skali lokalnej, jak i ogólnokrajowej. Program zachęt doprowadził również do wzrostu zapotrzebowania na specjalistyczny sprzęt i fachowców, odegrał także znaczącą rolę w przyciąganiu inwestycji zagranicznych: aż 73% budżetów produkcji realizowanych z zagranicznymi liderami pochodziło spoza Polski, a rodzime firmy rozliczyły przy tych projektach ponad 439 mln zł polskich kosztów kwalifikowalnych.</w:t>
      </w:r>
    </w:p>
    <w:p w14:paraId="02EAB86F" w14:textId="265EA71E"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t xml:space="preserve">Warto także podkreślić, że obecnie poszczególne państwa </w:t>
      </w:r>
      <w:r w:rsidRPr="00192DF5">
        <w:rPr>
          <w:rFonts w:ascii="Times New Roman" w:hAnsi="Times New Roman" w:cs="Times New Roman"/>
          <w:i/>
        </w:rPr>
        <w:t>de facto</w:t>
      </w:r>
      <w:r w:rsidRPr="00192DF5">
        <w:rPr>
          <w:rFonts w:ascii="Times New Roman" w:hAnsi="Times New Roman" w:cs="Times New Roman"/>
        </w:rPr>
        <w:t xml:space="preserve"> konkurują ze sobą o przyciąganie produkcji audiowizualnych, oferując coraz bardziej atrakcyjne systemy wsparcia finansowego. Bez odpowiednich reform i dostosowania krajowych rozwiązań do europejskich standardów Polska może stracić swoją konkurencyjność na tym polu na rzecz takich państw</w:t>
      </w:r>
      <w:r w:rsidR="00192DF5">
        <w:rPr>
          <w:rFonts w:ascii="Times New Roman" w:hAnsi="Times New Roman" w:cs="Times New Roman"/>
        </w:rPr>
        <w:t>,</w:t>
      </w:r>
      <w:r w:rsidRPr="00192DF5">
        <w:rPr>
          <w:rFonts w:ascii="Times New Roman" w:hAnsi="Times New Roman" w:cs="Times New Roman"/>
        </w:rPr>
        <w:t xml:space="preserve"> jak Czechy, Litwa czy Węgry, które już dziś przyciągają producentów korzystniejszymi warunkami. Dlatego modernizacja i dalszy rozwój systemu wsparcia stają się warunkiem koniecznym, by utrzymać i zwiększać udział Polski w globalnym rynku produkcji audiowizualnej.</w:t>
      </w:r>
    </w:p>
    <w:p w14:paraId="01B236B8" w14:textId="4B0FCFA2"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t xml:space="preserve">Cykl przygotowania produkcji audiowizualnych trwa zazwyczaj 2–3 lata. Dlatego już dziś konieczne jest wprowadzenie przejrzystej reguły wydatkowej, umożliwiającej planowanie wsparcia na lata 2028–2037. Taki mechanizm stworzy producentom warunki do wejścia w koprodukcje międzynarodowe i rozpoczęcia </w:t>
      </w:r>
      <w:r w:rsidR="00231749" w:rsidRPr="00192DF5">
        <w:rPr>
          <w:rFonts w:ascii="Times New Roman" w:hAnsi="Times New Roman" w:cs="Times New Roman"/>
        </w:rPr>
        <w:t xml:space="preserve">rozwoju </w:t>
      </w:r>
      <w:r w:rsidRPr="00192DF5">
        <w:rPr>
          <w:rFonts w:ascii="Times New Roman" w:hAnsi="Times New Roman" w:cs="Times New Roman"/>
        </w:rPr>
        <w:t>przyszłych projektów z odpowiednim wyprzedzeniem. W perspektywie kilku najbliższych lat</w:t>
      </w:r>
      <w:r w:rsidR="00537197" w:rsidRPr="00192DF5">
        <w:rPr>
          <w:rFonts w:ascii="Times New Roman" w:hAnsi="Times New Roman" w:cs="Times New Roman"/>
        </w:rPr>
        <w:t xml:space="preserve"> jest</w:t>
      </w:r>
      <w:r w:rsidRPr="00192DF5">
        <w:rPr>
          <w:rFonts w:ascii="Times New Roman" w:hAnsi="Times New Roman" w:cs="Times New Roman"/>
        </w:rPr>
        <w:t xml:space="preserve"> planowana także głębsza reforma systemu wspierania produkcji filmowej, której pełne wdrożenie będzie jednak wymagało uzyskania notyfikacji Komisji Europejskiej. Dlatego deregulacja i wzmacnianie mechanizmów rynkowych już teraz są kluczowe dla dalszego rozwoju sektora i budowy stabilnej, konkurencyjnej pozycji Polski na międzynarodowej mapie produkcji audiowizualnej.</w:t>
      </w:r>
    </w:p>
    <w:p w14:paraId="2CE9F3C2" w14:textId="77777777" w:rsidR="005F0841" w:rsidRPr="00192DF5" w:rsidRDefault="00007936" w:rsidP="00192DF5">
      <w:pPr>
        <w:spacing w:after="120" w:line="360" w:lineRule="auto"/>
        <w:jc w:val="both"/>
        <w:rPr>
          <w:rFonts w:ascii="Times New Roman" w:hAnsi="Times New Roman" w:cs="Times New Roman"/>
          <w:b/>
        </w:rPr>
      </w:pPr>
      <w:r w:rsidRPr="00192DF5">
        <w:rPr>
          <w:rFonts w:ascii="Times New Roman" w:hAnsi="Times New Roman" w:cs="Times New Roman"/>
          <w:b/>
        </w:rPr>
        <w:lastRenderedPageBreak/>
        <w:t>II. Uzasadnienie szczegółowe</w:t>
      </w:r>
    </w:p>
    <w:p w14:paraId="26392BD2" w14:textId="7CC979B4" w:rsidR="005F0841" w:rsidRPr="00192DF5" w:rsidRDefault="00007936" w:rsidP="00192DF5">
      <w:pPr>
        <w:spacing w:after="120" w:line="360" w:lineRule="auto"/>
        <w:jc w:val="both"/>
        <w:rPr>
          <w:rStyle w:val="Pogrubienie"/>
          <w:rFonts w:ascii="Times New Roman" w:hAnsi="Times New Roman" w:cs="Times New Roman"/>
        </w:rPr>
      </w:pPr>
      <w:r w:rsidRPr="00192DF5">
        <w:rPr>
          <w:rStyle w:val="Pogrubienie"/>
          <w:rFonts w:ascii="Times New Roman" w:hAnsi="Times New Roman" w:cs="Times New Roman"/>
          <w:bCs w:val="0"/>
          <w:u w:val="single"/>
        </w:rPr>
        <w:t>Art. 1 - zmiany w ustawie z dnia 9 listopada 2018 r. o finansowym wspieraniu produkcji audiowizualnej</w:t>
      </w:r>
      <w:r w:rsidR="002A6173" w:rsidRPr="00192DF5">
        <w:rPr>
          <w:rStyle w:val="Pogrubienie"/>
          <w:rFonts w:ascii="Times New Roman" w:hAnsi="Times New Roman" w:cs="Times New Roman"/>
          <w:u w:val="single"/>
        </w:rPr>
        <w:t xml:space="preserve"> (Dz. U. z 2021 r. poz. </w:t>
      </w:r>
      <w:r w:rsidR="002A6173" w:rsidRPr="00192DF5">
        <w:rPr>
          <w:rStyle w:val="Pogrubienie"/>
          <w:rFonts w:ascii="Times New Roman" w:hAnsi="Times New Roman" w:cs="Times New Roman"/>
          <w:bCs w:val="0"/>
          <w:u w:val="single"/>
        </w:rPr>
        <w:t>198)</w:t>
      </w:r>
    </w:p>
    <w:p w14:paraId="7A52DB05" w14:textId="337DFAD6" w:rsidR="005F0841" w:rsidRPr="00192DF5" w:rsidRDefault="00007936" w:rsidP="00192DF5">
      <w:pPr>
        <w:spacing w:after="120" w:line="360" w:lineRule="auto"/>
        <w:jc w:val="both"/>
        <w:rPr>
          <w:rStyle w:val="Pogrubienie"/>
          <w:rFonts w:ascii="Times New Roman" w:hAnsi="Times New Roman" w:cs="Times New Roman"/>
          <w:b w:val="0"/>
          <w:bCs w:val="0"/>
        </w:rPr>
      </w:pPr>
      <w:r w:rsidRPr="00192DF5">
        <w:rPr>
          <w:rStyle w:val="Pogrubienie"/>
          <w:rFonts w:ascii="Times New Roman" w:hAnsi="Times New Roman" w:cs="Times New Roman"/>
          <w:b w:val="0"/>
          <w:bCs w:val="0"/>
        </w:rPr>
        <w:t>Dodanie nowego art. 19a, zgodnie z którym wnioski o wsparcie finansowe są składane i rozpatrywane w dwóch okresach rozliczeniowych. Pierwszy okres rozliczeniowy obejmuje czas od 1 stycznia do 30 czerwca danego roku kalendarzowego, natomiast drugi okres rozliczeniowy trwa od 1 lipca do 31 grudnia tego samego roku. Niewykorzystane środki finansowe z pierwszego okresu rozliczeniowego przechodzą do drugiego okresu rozliczeniowego w ramach tego samego roku budżetowego.</w:t>
      </w:r>
    </w:p>
    <w:p w14:paraId="57A956CF" w14:textId="2AE61BCB" w:rsidR="005F0841" w:rsidRPr="00192DF5" w:rsidRDefault="00007936" w:rsidP="00192DF5">
      <w:pPr>
        <w:spacing w:after="120" w:line="360" w:lineRule="auto"/>
        <w:jc w:val="both"/>
        <w:rPr>
          <w:rFonts w:ascii="Times New Roman" w:hAnsi="Times New Roman" w:cs="Times New Roman"/>
        </w:rPr>
      </w:pPr>
      <w:r w:rsidRPr="00192DF5">
        <w:rPr>
          <w:rFonts w:ascii="Times New Roman" w:eastAsia="Times New Roman" w:hAnsi="Times New Roman" w:cs="Times New Roman"/>
        </w:rPr>
        <w:t xml:space="preserve">Jedną z kluczowych zmian wprowadzanych w projekcie ustawy jest doprecyzowanie zasad dotyczących składania wniosków o wsparcie finansowe oraz ustalenie ram czasowych dla rozpoczęcia produkcji audiowizualnej. </w:t>
      </w:r>
      <w:r w:rsidRPr="00192DF5">
        <w:rPr>
          <w:rStyle w:val="Pogrubienie"/>
          <w:rFonts w:ascii="Times New Roman" w:hAnsi="Times New Roman" w:cs="Times New Roman"/>
          <w:b w:val="0"/>
          <w:bCs w:val="0"/>
        </w:rPr>
        <w:t xml:space="preserve">Projektowane zmiany w art. 18 ust. 2 </w:t>
      </w:r>
      <w:r w:rsidR="00DB6264" w:rsidRPr="00192DF5">
        <w:rPr>
          <w:rStyle w:val="Pogrubienie"/>
          <w:rFonts w:ascii="Times New Roman" w:hAnsi="Times New Roman" w:cs="Times New Roman"/>
          <w:b w:val="0"/>
          <w:bCs w:val="0"/>
        </w:rPr>
        <w:t xml:space="preserve">i </w:t>
      </w:r>
      <w:r w:rsidRPr="00192DF5">
        <w:rPr>
          <w:rStyle w:val="Pogrubienie"/>
          <w:rFonts w:ascii="Times New Roman" w:hAnsi="Times New Roman" w:cs="Times New Roman"/>
          <w:b w:val="0"/>
          <w:bCs w:val="0"/>
        </w:rPr>
        <w:t>zmiany w art. 20 ust. 1, 3, 4</w:t>
      </w:r>
      <w:r w:rsidR="00537197" w:rsidRPr="00192DF5">
        <w:rPr>
          <w:rStyle w:val="Pogrubienie"/>
          <w:rFonts w:ascii="Times New Roman" w:hAnsi="Times New Roman" w:cs="Times New Roman"/>
          <w:b w:val="0"/>
          <w:bCs w:val="0"/>
        </w:rPr>
        <w:t xml:space="preserve"> oraz</w:t>
      </w:r>
      <w:r w:rsidRPr="00192DF5">
        <w:rPr>
          <w:rStyle w:val="Pogrubienie"/>
          <w:rFonts w:ascii="Times New Roman" w:hAnsi="Times New Roman" w:cs="Times New Roman"/>
          <w:b w:val="0"/>
          <w:bCs w:val="0"/>
        </w:rPr>
        <w:t xml:space="preserve"> 6</w:t>
      </w:r>
      <w:r w:rsidR="00537197" w:rsidRPr="00192DF5">
        <w:rPr>
          <w:rStyle w:val="Pogrubienie"/>
          <w:rFonts w:ascii="Times New Roman" w:hAnsi="Times New Roman" w:cs="Times New Roman"/>
          <w:b w:val="0"/>
          <w:bCs w:val="0"/>
        </w:rPr>
        <w:t>–</w:t>
      </w:r>
      <w:r w:rsidRPr="00192DF5">
        <w:rPr>
          <w:rStyle w:val="Pogrubienie"/>
          <w:rFonts w:ascii="Times New Roman" w:hAnsi="Times New Roman" w:cs="Times New Roman"/>
          <w:b w:val="0"/>
          <w:bCs w:val="0"/>
        </w:rPr>
        <w:t xml:space="preserve">8 </w:t>
      </w:r>
      <w:r w:rsidRPr="00192DF5">
        <w:rPr>
          <w:rFonts w:ascii="Times New Roman" w:hAnsi="Times New Roman" w:cs="Times New Roman"/>
        </w:rPr>
        <w:t>wynikają z założenia stworzenia dwóch naborów wniosków rocznie. W art. 18 ust. 2 określono, że wniosek o</w:t>
      </w:r>
      <w:r w:rsidR="00C932B4" w:rsidRPr="00192DF5">
        <w:rPr>
          <w:rFonts w:ascii="Times New Roman" w:hAnsi="Times New Roman" w:cs="Times New Roman"/>
        </w:rPr>
        <w:t> </w:t>
      </w:r>
      <w:r w:rsidRPr="00192DF5">
        <w:rPr>
          <w:rFonts w:ascii="Times New Roman" w:hAnsi="Times New Roman" w:cs="Times New Roman"/>
        </w:rPr>
        <w:t xml:space="preserve">wsparcie finansowe można składać </w:t>
      </w:r>
      <w:proofErr w:type="spellStart"/>
      <w:r w:rsidRPr="00192DF5">
        <w:rPr>
          <w:rFonts w:ascii="Times New Roman" w:hAnsi="Times New Roman" w:cs="Times New Roman"/>
        </w:rPr>
        <w:t>niewcześniej</w:t>
      </w:r>
      <w:proofErr w:type="spellEnd"/>
      <w:r w:rsidRPr="00192DF5">
        <w:rPr>
          <w:rFonts w:ascii="Times New Roman" w:hAnsi="Times New Roman" w:cs="Times New Roman"/>
        </w:rPr>
        <w:t xml:space="preserve"> niż sześć miesięcy przed rozpoczęciem prac objętych wsparciem i </w:t>
      </w:r>
      <w:proofErr w:type="spellStart"/>
      <w:r w:rsidRPr="00192DF5">
        <w:rPr>
          <w:rFonts w:ascii="Times New Roman" w:hAnsi="Times New Roman" w:cs="Times New Roman"/>
        </w:rPr>
        <w:t>niepóźniej</w:t>
      </w:r>
      <w:proofErr w:type="spellEnd"/>
      <w:r w:rsidRPr="00192DF5">
        <w:rPr>
          <w:rFonts w:ascii="Times New Roman" w:hAnsi="Times New Roman" w:cs="Times New Roman"/>
        </w:rPr>
        <w:t xml:space="preserve"> niż w dniu poprzedzającym ich rozpoczęcie. Jednocześnie wnioskodawca jest zobowiązany rozpocząć</w:t>
      </w:r>
      <w:r w:rsidR="00813B03" w:rsidRPr="00192DF5">
        <w:rPr>
          <w:rFonts w:ascii="Times New Roman" w:hAnsi="Times New Roman" w:cs="Times New Roman"/>
        </w:rPr>
        <w:t xml:space="preserve"> prace w okresie rozliczeniowym, wskazanym przez wnioskodawcę w harmonogramie produkcji audiowizualnej, o którym mowa w ust. 4 pkt 6 </w:t>
      </w:r>
      <w:r w:rsidR="0075673A" w:rsidRPr="00192DF5">
        <w:rPr>
          <w:rFonts w:ascii="Times New Roman" w:hAnsi="Times New Roman" w:cs="Times New Roman"/>
        </w:rPr>
        <w:t>ustawy z dnia 9 listopada 2018</w:t>
      </w:r>
      <w:r w:rsidR="00A00174" w:rsidRPr="00192DF5">
        <w:rPr>
          <w:rFonts w:ascii="Times New Roman" w:hAnsi="Times New Roman" w:cs="Times New Roman"/>
        </w:rPr>
        <w:t> </w:t>
      </w:r>
      <w:r w:rsidR="0075673A" w:rsidRPr="00192DF5">
        <w:rPr>
          <w:rFonts w:ascii="Times New Roman" w:hAnsi="Times New Roman" w:cs="Times New Roman"/>
        </w:rPr>
        <w:t>r. o finansowym wspieraniu produkcji audiowizualnej</w:t>
      </w:r>
      <w:r w:rsidR="00A00174" w:rsidRPr="00192DF5">
        <w:rPr>
          <w:rFonts w:ascii="Times New Roman" w:hAnsi="Times New Roman" w:cs="Times New Roman"/>
        </w:rPr>
        <w:t>, zwanej dalej „ustawą”</w:t>
      </w:r>
      <w:r w:rsidRPr="00192DF5">
        <w:rPr>
          <w:rFonts w:ascii="Times New Roman" w:hAnsi="Times New Roman" w:cs="Times New Roman"/>
        </w:rPr>
        <w:t>. Zmian</w:t>
      </w:r>
      <w:r w:rsidR="006749D7" w:rsidRPr="00192DF5">
        <w:rPr>
          <w:rFonts w:ascii="Times New Roman" w:hAnsi="Times New Roman" w:cs="Times New Roman"/>
        </w:rPr>
        <w:t>y</w:t>
      </w:r>
      <w:r w:rsidRPr="00192DF5">
        <w:rPr>
          <w:rFonts w:ascii="Times New Roman" w:hAnsi="Times New Roman" w:cs="Times New Roman"/>
        </w:rPr>
        <w:t xml:space="preserve"> t</w:t>
      </w:r>
      <w:r w:rsidR="006749D7" w:rsidRPr="00192DF5">
        <w:rPr>
          <w:rFonts w:ascii="Times New Roman" w:hAnsi="Times New Roman" w:cs="Times New Roman"/>
        </w:rPr>
        <w:t>e</w:t>
      </w:r>
      <w:r w:rsidRPr="00192DF5">
        <w:rPr>
          <w:rFonts w:ascii="Times New Roman" w:hAnsi="Times New Roman" w:cs="Times New Roman"/>
        </w:rPr>
        <w:t xml:space="preserve"> wprowadza</w:t>
      </w:r>
      <w:r w:rsidR="006749D7" w:rsidRPr="00192DF5">
        <w:rPr>
          <w:rFonts w:ascii="Times New Roman" w:hAnsi="Times New Roman" w:cs="Times New Roman"/>
        </w:rPr>
        <w:t>ją</w:t>
      </w:r>
      <w:r w:rsidRPr="00192DF5">
        <w:rPr>
          <w:rFonts w:ascii="Times New Roman" w:hAnsi="Times New Roman" w:cs="Times New Roman"/>
        </w:rPr>
        <w:t xml:space="preserve"> jasne</w:t>
      </w:r>
      <w:r w:rsidR="00B01E41" w:rsidRPr="00192DF5">
        <w:rPr>
          <w:rFonts w:ascii="Times New Roman" w:hAnsi="Times New Roman" w:cs="Times New Roman"/>
        </w:rPr>
        <w:t xml:space="preserve"> i</w:t>
      </w:r>
      <w:r w:rsidRPr="00192DF5">
        <w:rPr>
          <w:rFonts w:ascii="Times New Roman" w:hAnsi="Times New Roman" w:cs="Times New Roman"/>
        </w:rPr>
        <w:t xml:space="preserve"> </w:t>
      </w:r>
      <w:r w:rsidR="002F1A03" w:rsidRPr="00192DF5">
        <w:rPr>
          <w:rFonts w:ascii="Times New Roman" w:hAnsi="Times New Roman" w:cs="Times New Roman"/>
        </w:rPr>
        <w:t>precyzyjne</w:t>
      </w:r>
      <w:r w:rsidRPr="00192DF5">
        <w:rPr>
          <w:rFonts w:ascii="Times New Roman" w:hAnsi="Times New Roman" w:cs="Times New Roman"/>
        </w:rPr>
        <w:t xml:space="preserve"> ramy czasowe dla składania wniosków, zapewniając lepsze zarządzanie harmonogramem naborów oraz środkami finansowymi.</w:t>
      </w:r>
    </w:p>
    <w:p w14:paraId="1674371E" w14:textId="71936436"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t xml:space="preserve">Nowe zasady pozwolą także na lepsze rozłożenie dostępnych środków finansowych w czasie, tak aby realna pula finansowania była zagwarantowana również dla projektów planowanych na drugą połowę roku. Dzięki temu system stanie się bardziej przewidywalny i stabilny, co zwiększy jego atrakcyjność zarówno dla producentów krajowych, jak i zagranicznych. Jednocześnie wprowadzane zmiany usprawnią planowanie pracy </w:t>
      </w:r>
      <w:r w:rsidR="002F1A03" w:rsidRPr="00192DF5">
        <w:rPr>
          <w:rFonts w:ascii="Times New Roman" w:hAnsi="Times New Roman" w:cs="Times New Roman"/>
        </w:rPr>
        <w:t>PISF,</w:t>
      </w:r>
      <w:r w:rsidRPr="00192DF5">
        <w:rPr>
          <w:rFonts w:ascii="Times New Roman" w:hAnsi="Times New Roman" w:cs="Times New Roman"/>
        </w:rPr>
        <w:t xml:space="preserve"> umożliwiając sprawniejsze rozpatrywanie wniosków i szybsze zamykanie spraw. Dotychczas jednym z największych problemów systemu było wyczerpywanie się całej puli środków finansowych przeznaczonych na wsparcie już na</w:t>
      </w:r>
      <w:r w:rsidR="00C932B4" w:rsidRPr="00192DF5">
        <w:rPr>
          <w:rFonts w:ascii="Times New Roman" w:hAnsi="Times New Roman" w:cs="Times New Roman"/>
        </w:rPr>
        <w:t> </w:t>
      </w:r>
      <w:r w:rsidRPr="00192DF5">
        <w:rPr>
          <w:rFonts w:ascii="Times New Roman" w:hAnsi="Times New Roman" w:cs="Times New Roman"/>
        </w:rPr>
        <w:t>początku roku budżetowego, co ograniczało dostęp do wsparcia dla wielu wartościowych projektów. Wprowadzenie dwóch naborów pozwoli wyeliminować ten problem, poprawiając dostępność środków i</w:t>
      </w:r>
      <w:r w:rsidR="00C932B4" w:rsidRPr="00192DF5">
        <w:rPr>
          <w:rFonts w:ascii="Times New Roman" w:hAnsi="Times New Roman" w:cs="Times New Roman"/>
        </w:rPr>
        <w:t> </w:t>
      </w:r>
      <w:r w:rsidRPr="00192DF5">
        <w:rPr>
          <w:rFonts w:ascii="Times New Roman" w:hAnsi="Times New Roman" w:cs="Times New Roman"/>
        </w:rPr>
        <w:t>wzmacniając konkurencyjność polskiego systemu wspierania produkcji audiowizualnej.</w:t>
      </w:r>
    </w:p>
    <w:p w14:paraId="03732D4E" w14:textId="088EE8BB"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lastRenderedPageBreak/>
        <w:t>W</w:t>
      </w:r>
      <w:r w:rsidR="00231749" w:rsidRPr="00192DF5">
        <w:rPr>
          <w:rFonts w:ascii="Times New Roman" w:hAnsi="Times New Roman" w:cs="Times New Roman"/>
        </w:rPr>
        <w:t xml:space="preserve"> zakresie</w:t>
      </w:r>
      <w:r w:rsidRPr="00192DF5">
        <w:rPr>
          <w:rFonts w:ascii="Times New Roman" w:hAnsi="Times New Roman" w:cs="Times New Roman"/>
        </w:rPr>
        <w:t xml:space="preserve"> art. 20 ust. 1 ustawy określono termin rozpatrzenia wniosku przez </w:t>
      </w:r>
      <w:r w:rsidR="002A6173" w:rsidRPr="00192DF5">
        <w:rPr>
          <w:rFonts w:ascii="Times New Roman" w:hAnsi="Times New Roman" w:cs="Times New Roman"/>
        </w:rPr>
        <w:t>PISF</w:t>
      </w:r>
      <w:r w:rsidRPr="00192DF5">
        <w:rPr>
          <w:rFonts w:ascii="Times New Roman" w:hAnsi="Times New Roman" w:cs="Times New Roman"/>
        </w:rPr>
        <w:t>, który wynosi 40 dni kalendarzowych od dnia jego złożenia, co zwiększa przewidywalność procesu dla wnioskodawców. W przypadku nieadekwatności kosztorysu produkcji audiowizualnej</w:t>
      </w:r>
      <w:r w:rsidR="00344A40" w:rsidRPr="00192DF5">
        <w:rPr>
          <w:rFonts w:ascii="Times New Roman" w:hAnsi="Times New Roman" w:cs="Times New Roman"/>
        </w:rPr>
        <w:t>,</w:t>
      </w:r>
      <w:r w:rsidRPr="00192DF5">
        <w:rPr>
          <w:rFonts w:ascii="Times New Roman" w:hAnsi="Times New Roman" w:cs="Times New Roman"/>
        </w:rPr>
        <w:t xml:space="preserve"> o którym mowa w art. 18 ust. 4 pkt</w:t>
      </w:r>
      <w:r w:rsidR="00C932B4" w:rsidRPr="00192DF5">
        <w:rPr>
          <w:rFonts w:ascii="Times New Roman" w:hAnsi="Times New Roman" w:cs="Times New Roman"/>
        </w:rPr>
        <w:t> </w:t>
      </w:r>
      <w:r w:rsidRPr="00192DF5">
        <w:rPr>
          <w:rFonts w:ascii="Times New Roman" w:hAnsi="Times New Roman" w:cs="Times New Roman"/>
        </w:rPr>
        <w:t>8 ustawy z dnia 9 listopada 2018 r. o finansowym wspieraniu produkcji audiowizualnej</w:t>
      </w:r>
      <w:r w:rsidR="00344A40" w:rsidRPr="00192DF5">
        <w:rPr>
          <w:rFonts w:ascii="Times New Roman" w:hAnsi="Times New Roman" w:cs="Times New Roman"/>
        </w:rPr>
        <w:t>,</w:t>
      </w:r>
      <w:r w:rsidR="00A00174" w:rsidRPr="00192DF5">
        <w:rPr>
          <w:rFonts w:ascii="Times New Roman" w:hAnsi="Times New Roman" w:cs="Times New Roman"/>
        </w:rPr>
        <w:t xml:space="preserve"> </w:t>
      </w:r>
      <w:r w:rsidR="001245CA" w:rsidRPr="00192DF5">
        <w:rPr>
          <w:rFonts w:ascii="Times New Roman" w:hAnsi="Times New Roman" w:cs="Times New Roman"/>
        </w:rPr>
        <w:t>PISF</w:t>
      </w:r>
      <w:r w:rsidRPr="00192DF5">
        <w:rPr>
          <w:rFonts w:ascii="Times New Roman" w:hAnsi="Times New Roman" w:cs="Times New Roman"/>
        </w:rPr>
        <w:t xml:space="preserve"> przedstawi wnioskodawcy uwagi, w tym dotyczące kwalifikacji kosztów jako polskich kosztów kwalifikowalnych, i wezwie do przedstawienia zmodyfikowanego kosztorysu w terminie </w:t>
      </w:r>
      <w:proofErr w:type="spellStart"/>
      <w:r w:rsidR="00D4533F" w:rsidRPr="00192DF5">
        <w:rPr>
          <w:rFonts w:ascii="Times New Roman" w:hAnsi="Times New Roman" w:cs="Times New Roman"/>
        </w:rPr>
        <w:t>niekrótszym</w:t>
      </w:r>
      <w:proofErr w:type="spellEnd"/>
      <w:r w:rsidR="00D4533F" w:rsidRPr="00192DF5">
        <w:rPr>
          <w:rFonts w:ascii="Times New Roman" w:hAnsi="Times New Roman" w:cs="Times New Roman"/>
        </w:rPr>
        <w:t xml:space="preserve"> niż 7 dni oraz </w:t>
      </w:r>
      <w:proofErr w:type="spellStart"/>
      <w:r w:rsidRPr="00192DF5">
        <w:rPr>
          <w:rFonts w:ascii="Times New Roman" w:hAnsi="Times New Roman" w:cs="Times New Roman"/>
        </w:rPr>
        <w:t>niedłuższym</w:t>
      </w:r>
      <w:proofErr w:type="spellEnd"/>
      <w:r w:rsidRPr="00192DF5">
        <w:rPr>
          <w:rFonts w:ascii="Times New Roman" w:hAnsi="Times New Roman" w:cs="Times New Roman"/>
        </w:rPr>
        <w:t xml:space="preserve"> niż 14 dni. </w:t>
      </w:r>
    </w:p>
    <w:p w14:paraId="749DADAC" w14:textId="41D72D4A"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t xml:space="preserve">Dodanie ust. 3a do art. 20 ustawy ma na celu wprowadzenie dodatkowej elastyczności w procedurze poprawy kosztorysu. W praktyce zdarzają się sytuacje, w których wnioskodawca – z przyczyn obiektywnych, takich jak konieczność uzgodnień z partnerami międzynarodowymi czy problemy techniczne – nie jest w stanie złożyć poprawionego kosztorysu w wyznaczonym terminie. Nowe rozwiązanie umożliwia dyrektorowi </w:t>
      </w:r>
      <w:r w:rsidR="001245CA" w:rsidRPr="00192DF5">
        <w:rPr>
          <w:rFonts w:ascii="Times New Roman" w:hAnsi="Times New Roman" w:cs="Times New Roman"/>
        </w:rPr>
        <w:t>PISF</w:t>
      </w:r>
      <w:r w:rsidRPr="00192DF5">
        <w:rPr>
          <w:rFonts w:ascii="Times New Roman" w:hAnsi="Times New Roman" w:cs="Times New Roman"/>
        </w:rPr>
        <w:t xml:space="preserve"> jednorazowe przedłużenie tego terminu na okres od 7 do 14 dni, co pozwoli uniknąć odrzucenia wniosku z przyczyn formalnych i </w:t>
      </w:r>
      <w:r w:rsidR="002F1A03" w:rsidRPr="00192DF5">
        <w:rPr>
          <w:rFonts w:ascii="Times New Roman" w:hAnsi="Times New Roman" w:cs="Times New Roman"/>
        </w:rPr>
        <w:t xml:space="preserve">będzie </w:t>
      </w:r>
      <w:r w:rsidRPr="00192DF5">
        <w:rPr>
          <w:rFonts w:ascii="Times New Roman" w:hAnsi="Times New Roman" w:cs="Times New Roman"/>
        </w:rPr>
        <w:t>sprzyja</w:t>
      </w:r>
      <w:r w:rsidR="002F1A03" w:rsidRPr="00192DF5">
        <w:rPr>
          <w:rFonts w:ascii="Times New Roman" w:hAnsi="Times New Roman" w:cs="Times New Roman"/>
        </w:rPr>
        <w:t>ło</w:t>
      </w:r>
      <w:r w:rsidRPr="00192DF5">
        <w:rPr>
          <w:rFonts w:ascii="Times New Roman" w:hAnsi="Times New Roman" w:cs="Times New Roman"/>
        </w:rPr>
        <w:t xml:space="preserve"> większej efektywności wykorzystania środków publicznych, przy zachowaniu przejrzystości i dyscypliny procedury.</w:t>
      </w:r>
    </w:p>
    <w:p w14:paraId="601CA35B" w14:textId="1A262C8C"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t>Zgodnie z projektowanym przepisem art. 20 ust. 4</w:t>
      </w:r>
      <w:r w:rsidR="00D4533F" w:rsidRPr="00192DF5">
        <w:rPr>
          <w:rFonts w:ascii="Times New Roman" w:hAnsi="Times New Roman" w:cs="Times New Roman"/>
        </w:rPr>
        <w:t>,</w:t>
      </w:r>
      <w:r w:rsidRPr="00192DF5">
        <w:rPr>
          <w:rFonts w:ascii="Times New Roman" w:hAnsi="Times New Roman" w:cs="Times New Roman"/>
        </w:rPr>
        <w:t xml:space="preserve"> w przypadku braku przedłożenia zmodyfikowanego kosztorysu w wyznaczonym terminie, </w:t>
      </w:r>
      <w:r w:rsidR="001245CA" w:rsidRPr="00192DF5">
        <w:rPr>
          <w:rFonts w:ascii="Times New Roman" w:hAnsi="Times New Roman" w:cs="Times New Roman"/>
        </w:rPr>
        <w:t>PISF</w:t>
      </w:r>
      <w:r w:rsidRPr="00192DF5">
        <w:rPr>
          <w:rFonts w:ascii="Times New Roman" w:hAnsi="Times New Roman" w:cs="Times New Roman"/>
        </w:rPr>
        <w:t xml:space="preserve"> sam ustali maksymalną wysokość danego rodzaju kosztu kwalifikowalnego i poinformuje o tym wnioskodawcę w terminie 14 dni. Zmiany te mają na</w:t>
      </w:r>
      <w:r w:rsidR="00C932B4" w:rsidRPr="00192DF5">
        <w:rPr>
          <w:rFonts w:ascii="Times New Roman" w:hAnsi="Times New Roman" w:cs="Times New Roman"/>
        </w:rPr>
        <w:t> </w:t>
      </w:r>
      <w:r w:rsidRPr="00192DF5">
        <w:rPr>
          <w:rFonts w:ascii="Times New Roman" w:hAnsi="Times New Roman" w:cs="Times New Roman"/>
        </w:rPr>
        <w:t>celu umożliwienie wnioskodawcom poprawy kosztorysu</w:t>
      </w:r>
      <w:r w:rsidR="001245CA" w:rsidRPr="00192DF5">
        <w:rPr>
          <w:rFonts w:ascii="Times New Roman" w:hAnsi="Times New Roman" w:cs="Times New Roman"/>
        </w:rPr>
        <w:t>,</w:t>
      </w:r>
      <w:r w:rsidRPr="00192DF5">
        <w:rPr>
          <w:rFonts w:ascii="Times New Roman" w:hAnsi="Times New Roman" w:cs="Times New Roman"/>
        </w:rPr>
        <w:t xml:space="preserve"> przy jednoczesnym ograniczeniu ryzyka blokowania środków i przyspieszeniu procesu decyzyjnego.</w:t>
      </w:r>
    </w:p>
    <w:p w14:paraId="45B3CE46" w14:textId="79B50297"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t>Dodatkowo zmieniany ust. 6 przewiduje, że wnioski będą rozpatrywane w kolejności ich złożenia w</w:t>
      </w:r>
      <w:r w:rsidR="00C932B4" w:rsidRPr="00192DF5">
        <w:rPr>
          <w:rFonts w:ascii="Times New Roman" w:hAnsi="Times New Roman" w:cs="Times New Roman"/>
        </w:rPr>
        <w:t> </w:t>
      </w:r>
      <w:r w:rsidRPr="00192DF5">
        <w:rPr>
          <w:rFonts w:ascii="Times New Roman" w:hAnsi="Times New Roman" w:cs="Times New Roman"/>
        </w:rPr>
        <w:t xml:space="preserve">ramach danego okresu rozliczeniowego, a wsparcie finansowe </w:t>
      </w:r>
      <w:r w:rsidR="002F1A03" w:rsidRPr="00192DF5">
        <w:rPr>
          <w:rFonts w:ascii="Times New Roman" w:hAnsi="Times New Roman" w:cs="Times New Roman"/>
        </w:rPr>
        <w:t xml:space="preserve">będzie </w:t>
      </w:r>
      <w:r w:rsidRPr="00192DF5">
        <w:rPr>
          <w:rFonts w:ascii="Times New Roman" w:hAnsi="Times New Roman" w:cs="Times New Roman"/>
        </w:rPr>
        <w:t>przyznawane wyłącznie do</w:t>
      </w:r>
      <w:r w:rsidR="00C932B4" w:rsidRPr="00192DF5">
        <w:rPr>
          <w:rFonts w:ascii="Times New Roman" w:hAnsi="Times New Roman" w:cs="Times New Roman"/>
        </w:rPr>
        <w:t> </w:t>
      </w:r>
      <w:r w:rsidRPr="00192DF5">
        <w:rPr>
          <w:rFonts w:ascii="Times New Roman" w:hAnsi="Times New Roman" w:cs="Times New Roman"/>
        </w:rPr>
        <w:t xml:space="preserve">wyczerpania środków przewidzianych w planie finansowym </w:t>
      </w:r>
      <w:r w:rsidR="001245CA" w:rsidRPr="00192DF5">
        <w:rPr>
          <w:rFonts w:ascii="Times New Roman" w:hAnsi="Times New Roman" w:cs="Times New Roman"/>
        </w:rPr>
        <w:t>PISF</w:t>
      </w:r>
      <w:r w:rsidRPr="00192DF5">
        <w:rPr>
          <w:rFonts w:ascii="Times New Roman" w:hAnsi="Times New Roman" w:cs="Times New Roman"/>
        </w:rPr>
        <w:t xml:space="preserve"> na dany okres. Ustęp 7 wprowadza obowiązek poinformowania wnioskodawcy, którego wniosek, choć pozytywnie oceniony, nie został zakwalifikowany do dofinansowania z powodu wyczerpania środków. Rozwiązanie to zwiększa transparentność systemu, umożliwia wnioskodawcy uwzględnienie tej informacji przy planowaniu kolejnych działań oraz wzmacnia zaufanie do procesu oceny i przyznawania wsparcia. Wprowadzenie takiego obowiązku ma istotne znaczenie dla równego traktowania podmiotów i pozwala na bardziej świadome podejmowanie decyzji przez producentów audiowizualnych.</w:t>
      </w:r>
    </w:p>
    <w:p w14:paraId="1DFD22B5" w14:textId="3EE89E28"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lastRenderedPageBreak/>
        <w:t xml:space="preserve">Natomiast zmieniany ust. 8 wprowadza możliwość tworzenia listy rezerwowej wniosków z danego okresu rozliczeniowego, które </w:t>
      </w:r>
      <w:r w:rsidR="00BC26D3" w:rsidRPr="00192DF5">
        <w:rPr>
          <w:rFonts w:ascii="Times New Roman" w:hAnsi="Times New Roman" w:cs="Times New Roman"/>
        </w:rPr>
        <w:t>zostaną</w:t>
      </w:r>
      <w:r w:rsidRPr="00192DF5">
        <w:rPr>
          <w:rFonts w:ascii="Times New Roman" w:hAnsi="Times New Roman" w:cs="Times New Roman"/>
        </w:rPr>
        <w:t xml:space="preserve"> rozpatrzone w przypadku rezygnacji wnioskodawcy lub pojawienia się dodatkowych środków. Zmiany te zapewniają transparentność, sprawiedliwość i efektywne wykorzystanie dostępnych funduszy.</w:t>
      </w:r>
    </w:p>
    <w:p w14:paraId="55549D9E" w14:textId="1B5F1B26" w:rsidR="00BC26D3" w:rsidRPr="00192DF5" w:rsidRDefault="00BC26D3" w:rsidP="00192DF5">
      <w:pPr>
        <w:spacing w:after="120" w:line="360" w:lineRule="auto"/>
        <w:jc w:val="both"/>
        <w:rPr>
          <w:rFonts w:ascii="Times New Roman" w:hAnsi="Times New Roman" w:cs="Times New Roman"/>
        </w:rPr>
      </w:pPr>
      <w:r w:rsidRPr="00192DF5">
        <w:rPr>
          <w:rFonts w:ascii="Times New Roman" w:hAnsi="Times New Roman" w:cs="Times New Roman"/>
        </w:rPr>
        <w:t>W nowych ust. 9</w:t>
      </w:r>
      <w:r w:rsidR="00580A23" w:rsidRPr="00580A23">
        <w:rPr>
          <w:rFonts w:ascii="Times New Roman" w:hAnsi="Times New Roman" w:cs="Times New Roman"/>
        </w:rPr>
        <w:t>–</w:t>
      </w:r>
      <w:r w:rsidRPr="00192DF5">
        <w:rPr>
          <w:rFonts w:ascii="Times New Roman" w:hAnsi="Times New Roman" w:cs="Times New Roman"/>
        </w:rPr>
        <w:t xml:space="preserve">11 wprowadzono przepisy regulujące kwestie przetwarzania danych osobowych zawartych na utworzonej przez PISF liście rezerwowej. Określono, że lista rezerwowa, o której mowa w ust. 8, zawiera dane osobowe </w:t>
      </w:r>
      <w:r w:rsidR="0049133F" w:rsidRPr="00192DF5">
        <w:rPr>
          <w:rFonts w:ascii="Times New Roman" w:hAnsi="Times New Roman" w:cs="Times New Roman"/>
        </w:rPr>
        <w:t>zawarte</w:t>
      </w:r>
      <w:r w:rsidRPr="00192DF5">
        <w:rPr>
          <w:rFonts w:ascii="Times New Roman" w:hAnsi="Times New Roman" w:cs="Times New Roman"/>
        </w:rPr>
        <w:t xml:space="preserve"> we wnioskach o udz</w:t>
      </w:r>
      <w:r w:rsidR="0049133F" w:rsidRPr="00192DF5">
        <w:rPr>
          <w:rFonts w:ascii="Times New Roman" w:hAnsi="Times New Roman" w:cs="Times New Roman"/>
        </w:rPr>
        <w:t xml:space="preserve">ielenie wsparcia finansowego, które </w:t>
      </w:r>
      <w:r w:rsidRPr="00192DF5">
        <w:rPr>
          <w:rFonts w:ascii="Times New Roman" w:hAnsi="Times New Roman" w:cs="Times New Roman"/>
        </w:rPr>
        <w:t>przetwarzane są w celu rozpatrzenia wniosku, oraz dokonania wszelkich czynności związanych z zawarciem, realizacją i odstąpieniem od umowy o wsparcie finansowe. Dane osobowe mają być przechowywane w sposób gwarantujący zachowanie ich poufności, integralności, kompletności oraz dostępności, w warunkach niegrożących uszkodzeniem lub zniszczeniem, przez okres 15 lat</w:t>
      </w:r>
      <w:r w:rsidR="00112B02" w:rsidRPr="00192DF5">
        <w:rPr>
          <w:rFonts w:ascii="Times New Roman" w:hAnsi="Times New Roman" w:cs="Times New Roman"/>
        </w:rPr>
        <w:t xml:space="preserve"> od dnia otrzymania dokumentów zawierających dane osobowe</w:t>
      </w:r>
      <w:r w:rsidRPr="00192DF5">
        <w:rPr>
          <w:rFonts w:ascii="Times New Roman" w:hAnsi="Times New Roman" w:cs="Times New Roman"/>
        </w:rPr>
        <w:t xml:space="preserve">, przy czym koniec </w:t>
      </w:r>
      <w:r w:rsidR="0043588E" w:rsidRPr="00192DF5">
        <w:rPr>
          <w:rFonts w:ascii="Times New Roman" w:hAnsi="Times New Roman" w:cs="Times New Roman"/>
        </w:rPr>
        <w:t xml:space="preserve">tego </w:t>
      </w:r>
      <w:r w:rsidRPr="00192DF5">
        <w:rPr>
          <w:rFonts w:ascii="Times New Roman" w:hAnsi="Times New Roman" w:cs="Times New Roman"/>
        </w:rPr>
        <w:t>terminu przypada na ostatni dzień roku kalendarzowego. Długość okresu przechowywania danych osobowych jest związana z koniecznością zabezpieczenia dowodów na potrzeby ewentualnych kontroli, postępowań przed organami nadzoru oraz stabilnością archiwizacji dokumentacji płacowej i kadrowej</w:t>
      </w:r>
      <w:r w:rsidR="00DD27AF" w:rsidRPr="00192DF5">
        <w:rPr>
          <w:rFonts w:ascii="Times New Roman" w:hAnsi="Times New Roman" w:cs="Times New Roman"/>
        </w:rPr>
        <w:t>, jak również w związku z ewentualnymi postępowaniami karnymi</w:t>
      </w:r>
      <w:r w:rsidRPr="00192DF5">
        <w:rPr>
          <w:rFonts w:ascii="Times New Roman" w:hAnsi="Times New Roman" w:cs="Times New Roman"/>
        </w:rPr>
        <w:t>.</w:t>
      </w:r>
    </w:p>
    <w:p w14:paraId="132933FA" w14:textId="3031598F"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t>W efekcie całość projektowanej nowelizacji ma na celu uporządkowanie terminów składania i</w:t>
      </w:r>
      <w:r w:rsidR="00C932B4" w:rsidRPr="00192DF5">
        <w:rPr>
          <w:rFonts w:ascii="Times New Roman" w:hAnsi="Times New Roman" w:cs="Times New Roman"/>
        </w:rPr>
        <w:t> </w:t>
      </w:r>
      <w:r w:rsidRPr="00192DF5">
        <w:rPr>
          <w:rFonts w:ascii="Times New Roman" w:hAnsi="Times New Roman" w:cs="Times New Roman"/>
        </w:rPr>
        <w:t>rozpatrywania wniosków, umożliwienie wnioskodawcom korygowania kosztorysów, a jednocześnie zapewnienie sprawnego i przewidywalnego przydzielania wsparcia finansowego w systemie dwóch naborów rocznie.</w:t>
      </w:r>
    </w:p>
    <w:p w14:paraId="2EBBB678" w14:textId="4587B859" w:rsidR="005F0841" w:rsidRPr="00192DF5" w:rsidRDefault="00007936" w:rsidP="00192DF5">
      <w:pPr>
        <w:spacing w:after="120" w:line="360" w:lineRule="auto"/>
        <w:jc w:val="both"/>
        <w:rPr>
          <w:rFonts w:ascii="Times New Roman" w:eastAsia="Times New Roman" w:hAnsi="Times New Roman" w:cs="Times New Roman"/>
        </w:rPr>
      </w:pPr>
      <w:r w:rsidRPr="00192DF5">
        <w:rPr>
          <w:rFonts w:ascii="Times New Roman" w:eastAsia="Times New Roman" w:hAnsi="Times New Roman" w:cs="Times New Roman"/>
        </w:rPr>
        <w:t xml:space="preserve">Obecnie obowiązujące brzmienie przepisu, wprowadzone ustawą z dnia 31 marca 2020 r. </w:t>
      </w:r>
      <w:r w:rsidR="00CD0D54" w:rsidRPr="00192DF5">
        <w:rPr>
          <w:rFonts w:ascii="Times New Roman" w:eastAsia="Times New Roman" w:hAnsi="Times New Roman" w:cs="Times New Roman"/>
        </w:rPr>
        <w:t xml:space="preserve">o </w:t>
      </w:r>
      <w:r w:rsidR="00F50CD1" w:rsidRPr="00192DF5">
        <w:rPr>
          <w:rFonts w:ascii="Times New Roman" w:eastAsia="Times New Roman" w:hAnsi="Times New Roman" w:cs="Times New Roman"/>
        </w:rPr>
        <w:t>zmianie ustawy o szczególnych rozwiązaniach związanych z zapobieganiem, przeciwdziałaniem i zwalczaniem COVID-19, innych chorób zakaźnych oraz wywołanych nimi sytuacji kryzysowych oraz niektórych innych ustaw (Dz.</w:t>
      </w:r>
      <w:r w:rsidR="00C932B4" w:rsidRPr="00192DF5">
        <w:rPr>
          <w:rFonts w:ascii="Times New Roman" w:eastAsia="Times New Roman" w:hAnsi="Times New Roman" w:cs="Times New Roman"/>
        </w:rPr>
        <w:t> </w:t>
      </w:r>
      <w:r w:rsidR="00F50CD1" w:rsidRPr="00192DF5">
        <w:rPr>
          <w:rFonts w:ascii="Times New Roman" w:eastAsia="Times New Roman" w:hAnsi="Times New Roman" w:cs="Times New Roman"/>
        </w:rPr>
        <w:t xml:space="preserve">U. poz. 568, z </w:t>
      </w:r>
      <w:proofErr w:type="spellStart"/>
      <w:r w:rsidR="00F50CD1" w:rsidRPr="00192DF5">
        <w:rPr>
          <w:rFonts w:ascii="Times New Roman" w:eastAsia="Times New Roman" w:hAnsi="Times New Roman" w:cs="Times New Roman"/>
        </w:rPr>
        <w:t>późn</w:t>
      </w:r>
      <w:proofErr w:type="spellEnd"/>
      <w:r w:rsidR="00F50CD1" w:rsidRPr="00192DF5">
        <w:rPr>
          <w:rFonts w:ascii="Times New Roman" w:eastAsia="Times New Roman" w:hAnsi="Times New Roman" w:cs="Times New Roman"/>
        </w:rPr>
        <w:t xml:space="preserve">. zm.) </w:t>
      </w:r>
      <w:r w:rsidRPr="00192DF5">
        <w:rPr>
          <w:rFonts w:ascii="Times New Roman" w:eastAsia="Times New Roman" w:hAnsi="Times New Roman" w:cs="Times New Roman"/>
        </w:rPr>
        <w:t xml:space="preserve">w związku z epidemią COVID-19, pozwala składać wnioski o wsparcie </w:t>
      </w:r>
      <w:proofErr w:type="spellStart"/>
      <w:r w:rsidRPr="00192DF5">
        <w:rPr>
          <w:rFonts w:ascii="Times New Roman" w:eastAsia="Times New Roman" w:hAnsi="Times New Roman" w:cs="Times New Roman"/>
        </w:rPr>
        <w:t>niewcześniej</w:t>
      </w:r>
      <w:proofErr w:type="spellEnd"/>
      <w:r w:rsidRPr="00192DF5">
        <w:rPr>
          <w:rFonts w:ascii="Times New Roman" w:eastAsia="Times New Roman" w:hAnsi="Times New Roman" w:cs="Times New Roman"/>
        </w:rPr>
        <w:t xml:space="preserve"> niż 12 miesięcy przed rozpoczęciem prac i zobowiązuje wnioskodawcę do ich rozpoczęcia w</w:t>
      </w:r>
      <w:r w:rsidR="00C932B4" w:rsidRPr="00192DF5">
        <w:rPr>
          <w:rFonts w:ascii="Times New Roman" w:eastAsia="Times New Roman" w:hAnsi="Times New Roman" w:cs="Times New Roman"/>
        </w:rPr>
        <w:t> </w:t>
      </w:r>
      <w:r w:rsidRPr="00192DF5">
        <w:rPr>
          <w:rFonts w:ascii="Times New Roman" w:eastAsia="Times New Roman" w:hAnsi="Times New Roman" w:cs="Times New Roman"/>
        </w:rPr>
        <w:t>ciągu 12 miesięcy od dnia złożenia wniosku. Rozwiązanie to miało uzasadnienie w okresie pandemii, gdy</w:t>
      </w:r>
      <w:r w:rsidR="00C932B4" w:rsidRPr="00192DF5">
        <w:rPr>
          <w:rFonts w:ascii="Times New Roman" w:eastAsia="Times New Roman" w:hAnsi="Times New Roman" w:cs="Times New Roman"/>
        </w:rPr>
        <w:t> </w:t>
      </w:r>
      <w:r w:rsidRPr="00192DF5">
        <w:rPr>
          <w:rFonts w:ascii="Times New Roman" w:eastAsia="Times New Roman" w:hAnsi="Times New Roman" w:cs="Times New Roman"/>
        </w:rPr>
        <w:t>cykle zdjęciowe ulegały wydłużeniu</w:t>
      </w:r>
      <w:r w:rsidR="004314AC" w:rsidRPr="00192DF5">
        <w:rPr>
          <w:rFonts w:ascii="Times New Roman" w:eastAsia="Times New Roman" w:hAnsi="Times New Roman" w:cs="Times New Roman"/>
        </w:rPr>
        <w:t xml:space="preserve">. Obowiązuje ono </w:t>
      </w:r>
      <w:r w:rsidRPr="00192DF5">
        <w:rPr>
          <w:rFonts w:ascii="Times New Roman" w:eastAsia="Times New Roman" w:hAnsi="Times New Roman" w:cs="Times New Roman"/>
        </w:rPr>
        <w:t xml:space="preserve">jednak nadal i rodzi istotne problemy. Wnioski </w:t>
      </w:r>
      <w:r w:rsidR="00F50CD1" w:rsidRPr="00192DF5">
        <w:rPr>
          <w:rFonts w:ascii="Times New Roman" w:eastAsia="Times New Roman" w:hAnsi="Times New Roman" w:cs="Times New Roman"/>
        </w:rPr>
        <w:t xml:space="preserve">są bowiem </w:t>
      </w:r>
      <w:r w:rsidRPr="00192DF5">
        <w:rPr>
          <w:rFonts w:ascii="Times New Roman" w:eastAsia="Times New Roman" w:hAnsi="Times New Roman" w:cs="Times New Roman"/>
        </w:rPr>
        <w:t xml:space="preserve">składane często na etapie koncepcyjnym, co skutkuje blokowaniem środków przez projekty niezrealizowane w danym roku. Prowadzi to do sytuacji, w której środki wyczerpują się już w pierwszym dniu naboru, a dostęp uzyskują również </w:t>
      </w:r>
      <w:r w:rsidRPr="00192DF5">
        <w:rPr>
          <w:rFonts w:ascii="Times New Roman" w:eastAsia="Times New Roman" w:hAnsi="Times New Roman" w:cs="Times New Roman"/>
        </w:rPr>
        <w:lastRenderedPageBreak/>
        <w:t>projekty odległe od realizacji. W praktyce powoduje to także zwroty niewykorzystanych środków do budżetu państwa – przykładem jest 2025 r., kiedy niezrealizowana produkcja zwróciła 15 mln zł.</w:t>
      </w:r>
    </w:p>
    <w:p w14:paraId="7253D95B" w14:textId="6ECBFCEE" w:rsidR="005F0841" w:rsidRPr="00192DF5" w:rsidRDefault="00007936" w:rsidP="00192DF5">
      <w:pPr>
        <w:spacing w:after="120" w:line="360" w:lineRule="auto"/>
        <w:jc w:val="both"/>
        <w:rPr>
          <w:rFonts w:ascii="Times New Roman" w:eastAsia="Times New Roman" w:hAnsi="Times New Roman" w:cs="Times New Roman"/>
        </w:rPr>
      </w:pPr>
      <w:r w:rsidRPr="00192DF5">
        <w:rPr>
          <w:rFonts w:ascii="Times New Roman" w:eastAsia="Times New Roman" w:hAnsi="Times New Roman" w:cs="Times New Roman"/>
        </w:rPr>
        <w:t>Pierwotnie ustawa przewidywała 6-miesięczny termin, uzasadniony nowością systemu „zachęt”. Obecnie, po kilku latach stosowania, producenci są zaznajomieni z procedurą, a wydłużony okres 12 miesięcy nie znajduje już racjonalnego uzasadnienia. Skrócenie go do 6 miesięcy pozwoli kierować wsparcie do</w:t>
      </w:r>
      <w:r w:rsidR="00C932B4" w:rsidRPr="00192DF5">
        <w:rPr>
          <w:rFonts w:ascii="Times New Roman" w:eastAsia="Times New Roman" w:hAnsi="Times New Roman" w:cs="Times New Roman"/>
        </w:rPr>
        <w:t> </w:t>
      </w:r>
      <w:r w:rsidRPr="00192DF5">
        <w:rPr>
          <w:rFonts w:ascii="Times New Roman" w:eastAsia="Times New Roman" w:hAnsi="Times New Roman" w:cs="Times New Roman"/>
        </w:rPr>
        <w:t>projektów faktycznie przygotowanych do realizacji, ograniczy blokowanie środków i zwiększy ich dostępność przez cały rok. Zmiana ta, przy minimalnych kosztach, jest najbardziej efektywnym sposobem zapewnienia stabilności systemu i równomiernego dostępu do finansowania.</w:t>
      </w:r>
    </w:p>
    <w:p w14:paraId="15C66801" w14:textId="22B33312"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b/>
        </w:rPr>
        <w:t>Z</w:t>
      </w:r>
      <w:r w:rsidRPr="00192DF5">
        <w:rPr>
          <w:rStyle w:val="Pogrubienie"/>
          <w:rFonts w:ascii="Times New Roman" w:hAnsi="Times New Roman" w:cs="Times New Roman"/>
          <w:bCs w:val="0"/>
        </w:rPr>
        <w:t>miany w art. 24 (nowe ust. 1a-1</w:t>
      </w:r>
      <w:r w:rsidR="00F50CD1" w:rsidRPr="00192DF5">
        <w:rPr>
          <w:rStyle w:val="Pogrubienie"/>
          <w:rFonts w:ascii="Times New Roman" w:hAnsi="Times New Roman" w:cs="Times New Roman"/>
          <w:bCs w:val="0"/>
        </w:rPr>
        <w:t>g</w:t>
      </w:r>
      <w:r w:rsidRPr="00192DF5">
        <w:rPr>
          <w:rStyle w:val="Pogrubienie"/>
          <w:rFonts w:ascii="Times New Roman" w:hAnsi="Times New Roman" w:cs="Times New Roman"/>
          <w:bCs w:val="0"/>
        </w:rPr>
        <w:t>)</w:t>
      </w:r>
    </w:p>
    <w:p w14:paraId="7790B039" w14:textId="6D83150A" w:rsidR="005F0841" w:rsidRPr="00192DF5" w:rsidRDefault="00007936" w:rsidP="00192DF5">
      <w:pPr>
        <w:spacing w:after="120" w:line="360" w:lineRule="auto"/>
        <w:jc w:val="both"/>
        <w:rPr>
          <w:rFonts w:ascii="Times New Roman" w:eastAsia="Times New Roman" w:hAnsi="Times New Roman" w:cs="Times New Roman"/>
        </w:rPr>
      </w:pPr>
      <w:r w:rsidRPr="00192DF5">
        <w:rPr>
          <w:rFonts w:ascii="Times New Roman" w:hAnsi="Times New Roman" w:cs="Times New Roman"/>
        </w:rPr>
        <w:t>Projektowane przepisy w art. 24 ust. 1a–1</w:t>
      </w:r>
      <w:r w:rsidR="00F50CD1" w:rsidRPr="00192DF5">
        <w:rPr>
          <w:rFonts w:ascii="Times New Roman" w:hAnsi="Times New Roman" w:cs="Times New Roman"/>
        </w:rPr>
        <w:t>g</w:t>
      </w:r>
      <w:r w:rsidRPr="00192DF5">
        <w:rPr>
          <w:rFonts w:ascii="Times New Roman" w:hAnsi="Times New Roman" w:cs="Times New Roman"/>
        </w:rPr>
        <w:t xml:space="preserve"> mają na celu </w:t>
      </w:r>
      <w:r w:rsidRPr="00192DF5">
        <w:rPr>
          <w:rFonts w:ascii="Times New Roman" w:hAnsi="Times New Roman" w:cs="Times New Roman"/>
          <w:bCs/>
        </w:rPr>
        <w:t>umożliwienie producentom audiowizualnym (przedsiębiorcom)</w:t>
      </w:r>
      <w:r w:rsidRPr="00192DF5">
        <w:rPr>
          <w:rFonts w:ascii="Times New Roman" w:hAnsi="Times New Roman" w:cs="Times New Roman"/>
        </w:rPr>
        <w:t xml:space="preserve">, którzy otrzymali promesę wsparcia finansowego, </w:t>
      </w:r>
      <w:r w:rsidRPr="00192DF5">
        <w:rPr>
          <w:rFonts w:ascii="Times New Roman" w:hAnsi="Times New Roman" w:cs="Times New Roman"/>
          <w:bCs/>
        </w:rPr>
        <w:t>pozyskania niezbędnego finansowania z banków</w:t>
      </w:r>
      <w:r w:rsidRPr="00192DF5">
        <w:rPr>
          <w:rFonts w:ascii="Times New Roman" w:hAnsi="Times New Roman" w:cs="Times New Roman"/>
        </w:rPr>
        <w:t xml:space="preserve">, zanim rzeczywiste środki zostaną wypłacone przez państwowy podmiot (PISF). Ułatwia to realizację projektów audiowizualnych przez zapewnienie </w:t>
      </w:r>
      <w:r w:rsidRPr="00192DF5">
        <w:rPr>
          <w:rFonts w:ascii="Times New Roman" w:hAnsi="Times New Roman" w:cs="Times New Roman"/>
          <w:bCs/>
        </w:rPr>
        <w:t>płynności finansowej</w:t>
      </w:r>
      <w:r w:rsidRPr="00192DF5">
        <w:rPr>
          <w:rFonts w:ascii="Times New Roman" w:hAnsi="Times New Roman" w:cs="Times New Roman"/>
        </w:rPr>
        <w:t xml:space="preserve"> już na etapie produkcji. </w:t>
      </w:r>
      <w:r w:rsidRPr="00192DF5">
        <w:rPr>
          <w:rFonts w:ascii="Times New Roman" w:eastAsia="Times New Roman" w:hAnsi="Times New Roman" w:cs="Times New Roman"/>
        </w:rPr>
        <w:t>Głównym celem takiego działania jest zwiększenie elastyczności i efektywności systemu wsparcia finansowego, przy jednoczesnym zachowaniu przejrzystości i kontroli nad wydatkowaniem środków publicznych.</w:t>
      </w:r>
    </w:p>
    <w:p w14:paraId="04C56DF3" w14:textId="6A6BEAE1"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t>Zgodnie z raportem „</w:t>
      </w:r>
      <w:r w:rsidRPr="00192DF5">
        <w:rPr>
          <w:rFonts w:ascii="Times New Roman" w:hAnsi="Times New Roman" w:cs="Times New Roman"/>
          <w:i/>
        </w:rPr>
        <w:t>Kondycja polskiego sektora niezależnej produkcji audiowizualnej</w:t>
      </w:r>
      <w:r w:rsidRPr="00192DF5">
        <w:rPr>
          <w:rFonts w:ascii="Times New Roman" w:hAnsi="Times New Roman" w:cs="Times New Roman"/>
        </w:rPr>
        <w:t xml:space="preserve">” przygotowanym przez KIPA we współpracy z </w:t>
      </w:r>
      <w:proofErr w:type="spellStart"/>
      <w:r w:rsidRPr="00192DF5">
        <w:rPr>
          <w:rFonts w:ascii="Times New Roman" w:hAnsi="Times New Roman" w:cs="Times New Roman"/>
        </w:rPr>
        <w:t>PwC</w:t>
      </w:r>
      <w:proofErr w:type="spellEnd"/>
      <w:r w:rsidRPr="00192DF5">
        <w:rPr>
          <w:rFonts w:ascii="Times New Roman" w:hAnsi="Times New Roman" w:cs="Times New Roman"/>
        </w:rPr>
        <w:t xml:space="preserve"> </w:t>
      </w:r>
      <w:proofErr w:type="spellStart"/>
      <w:r w:rsidRPr="00192DF5">
        <w:rPr>
          <w:rFonts w:ascii="Times New Roman" w:hAnsi="Times New Roman" w:cs="Times New Roman"/>
        </w:rPr>
        <w:t>Advisory</w:t>
      </w:r>
      <w:proofErr w:type="spellEnd"/>
      <w:r w:rsidRPr="00192DF5">
        <w:rPr>
          <w:rFonts w:ascii="Times New Roman" w:hAnsi="Times New Roman" w:cs="Times New Roman"/>
        </w:rPr>
        <w:t xml:space="preserve"> sp. z o.o. sp. k.</w:t>
      </w:r>
      <w:r w:rsidRPr="00192DF5">
        <w:rPr>
          <w:rFonts w:ascii="Times New Roman" w:hAnsi="Times New Roman" w:cs="Times New Roman"/>
          <w:vertAlign w:val="superscript"/>
        </w:rPr>
        <w:footnoteReference w:id="2"/>
      </w:r>
      <w:r w:rsidRPr="00192DF5">
        <w:rPr>
          <w:rFonts w:ascii="Times New Roman" w:hAnsi="Times New Roman" w:cs="Times New Roman"/>
        </w:rPr>
        <w:t xml:space="preserve"> polscy producenci wskazują obecnie na brak dostępnych instrumentów finansowych umożliwiających realizację produkcji filmowej, przeznaczonych dla sektora i skonstruowanych zgodnie z jego specyfiką. Dla 84,7% producentów największą barierę rozwoju branży stanowi utrudniony dostęp do finansowania. Z kolei 79,6% respondentów doświadczyło problemów z płynnością finansową. Wpływa to negatywnie na proces realizacji produkcji filmowych w Polsce. Problemy z płynnością mogą skutkować np. koniecznością rezygnacji z innych projektów, przestojami w płatnościach bieżących faktur czy cięciami kosztów. W treści raportu oszacowano wielkość rynku zapotrzebowania na finansowanie pomostowe dla dotacji i zachęt średniorocznie minimalnie na 107,2 mln zł. Jak wskazano w treści raportu</w:t>
      </w:r>
      <w:r w:rsidR="00580A23">
        <w:rPr>
          <w:rFonts w:ascii="Times New Roman" w:hAnsi="Times New Roman" w:cs="Times New Roman"/>
        </w:rPr>
        <w:t>,</w:t>
      </w:r>
      <w:r w:rsidRPr="00192DF5">
        <w:rPr>
          <w:rFonts w:ascii="Times New Roman" w:hAnsi="Times New Roman" w:cs="Times New Roman"/>
        </w:rPr>
        <w:t xml:space="preserve"> banki w Polsce </w:t>
      </w:r>
      <w:r w:rsidRPr="00192DF5">
        <w:rPr>
          <w:rFonts w:ascii="Times New Roman" w:hAnsi="Times New Roman" w:cs="Times New Roman"/>
        </w:rPr>
        <w:lastRenderedPageBreak/>
        <w:t xml:space="preserve">mogłyby skorzystać na finansowaniu pomostowym produkcji filmowej wspieranej przez PISF. Kredyty usprawniłyby proces produkcji filmowej, a odsetki stanowiłyby zysk dla banków. </w:t>
      </w:r>
    </w:p>
    <w:p w14:paraId="2517C4D7" w14:textId="3AE746B9" w:rsidR="005F0841"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rPr>
        <w:t>Polski sektor niezależnej produkcji audiowizualnej zmaga się z poważnymi barierami w dostępie do</w:t>
      </w:r>
      <w:r w:rsidR="00C932B4" w:rsidRPr="00192DF5">
        <w:rPr>
          <w:rFonts w:ascii="Times New Roman" w:hAnsi="Times New Roman" w:cs="Times New Roman"/>
        </w:rPr>
        <w:t> </w:t>
      </w:r>
      <w:r w:rsidRPr="00192DF5">
        <w:rPr>
          <w:rFonts w:ascii="Times New Roman" w:hAnsi="Times New Roman" w:cs="Times New Roman"/>
        </w:rPr>
        <w:t xml:space="preserve">finansowania, co negatywnie wpływa na płynność finansową producentów i realizację projektów. Raport KIPA i </w:t>
      </w:r>
      <w:proofErr w:type="spellStart"/>
      <w:r w:rsidRPr="00192DF5">
        <w:rPr>
          <w:rFonts w:ascii="Times New Roman" w:hAnsi="Times New Roman" w:cs="Times New Roman"/>
        </w:rPr>
        <w:t>PwC</w:t>
      </w:r>
      <w:proofErr w:type="spellEnd"/>
      <w:r w:rsidRPr="00192DF5">
        <w:rPr>
          <w:rFonts w:ascii="Times New Roman" w:hAnsi="Times New Roman" w:cs="Times New Roman"/>
        </w:rPr>
        <w:t xml:space="preserve"> wskazuje, że stworzenie dedykowanych instrumentów finansowych – takich jak kredyty pomostowe pod dotacje i zachęty PISF – mogłoby znacząco usprawnić procesy produkcyjne, przynosząc jednocześnie korzyści także instytucjom finansowym.</w:t>
      </w:r>
    </w:p>
    <w:p w14:paraId="1BE74379" w14:textId="6C2C6E66" w:rsidR="005F0841" w:rsidRPr="00192DF5" w:rsidRDefault="00007936" w:rsidP="00192DF5">
      <w:pPr>
        <w:tabs>
          <w:tab w:val="num" w:pos="720"/>
        </w:tabs>
        <w:spacing w:after="120" w:line="360" w:lineRule="auto"/>
        <w:jc w:val="both"/>
        <w:rPr>
          <w:rFonts w:ascii="Times New Roman" w:hAnsi="Times New Roman" w:cs="Times New Roman"/>
        </w:rPr>
      </w:pPr>
      <w:r w:rsidRPr="00192DF5">
        <w:rPr>
          <w:rFonts w:ascii="Times New Roman" w:hAnsi="Times New Roman" w:cs="Times New Roman"/>
        </w:rPr>
        <w:t>Dodawany w art. 24 ust. 1a u</w:t>
      </w:r>
      <w:r w:rsidRPr="00192DF5">
        <w:rPr>
          <w:rFonts w:ascii="Times New Roman" w:hAnsi="Times New Roman" w:cs="Times New Roman"/>
          <w:bCs/>
        </w:rPr>
        <w:t>możliwi dokonanie przelewu tzw. wierzytelności przyszłej</w:t>
      </w:r>
      <w:r w:rsidRPr="00192DF5">
        <w:rPr>
          <w:rFonts w:ascii="Times New Roman" w:hAnsi="Times New Roman" w:cs="Times New Roman"/>
        </w:rPr>
        <w:t xml:space="preserve"> – a więc prawa do</w:t>
      </w:r>
      <w:r w:rsidR="00C932B4" w:rsidRPr="00192DF5">
        <w:rPr>
          <w:rFonts w:ascii="Times New Roman" w:hAnsi="Times New Roman" w:cs="Times New Roman"/>
        </w:rPr>
        <w:t> </w:t>
      </w:r>
      <w:r w:rsidRPr="00192DF5">
        <w:rPr>
          <w:rFonts w:ascii="Times New Roman" w:hAnsi="Times New Roman" w:cs="Times New Roman"/>
        </w:rPr>
        <w:t>środków z tytułu wsparcia, które nie zostały</w:t>
      </w:r>
      <w:r w:rsidR="005056C1" w:rsidRPr="00192DF5">
        <w:rPr>
          <w:rFonts w:ascii="Times New Roman" w:hAnsi="Times New Roman" w:cs="Times New Roman"/>
        </w:rPr>
        <w:t xml:space="preserve"> jeszcze</w:t>
      </w:r>
      <w:r w:rsidRPr="00192DF5">
        <w:rPr>
          <w:rFonts w:ascii="Times New Roman" w:hAnsi="Times New Roman" w:cs="Times New Roman"/>
        </w:rPr>
        <w:t xml:space="preserve"> wypłacone, ale zostały przyznane. </w:t>
      </w:r>
      <w:r w:rsidRPr="00192DF5">
        <w:rPr>
          <w:rFonts w:ascii="Times New Roman" w:hAnsi="Times New Roman" w:cs="Times New Roman"/>
          <w:bCs/>
        </w:rPr>
        <w:t>Banki</w:t>
      </w:r>
      <w:r w:rsidRPr="00192DF5">
        <w:rPr>
          <w:rFonts w:ascii="Times New Roman" w:hAnsi="Times New Roman" w:cs="Times New Roman"/>
        </w:rPr>
        <w:t xml:space="preserve"> krajowe i zagraniczne, wskazane w art. 4 ust. 1 pkt 1 i 2 ustawy z dnia 29 sierpnia 1997 r. </w:t>
      </w:r>
      <w:r w:rsidR="005056C1" w:rsidRPr="00192DF5">
        <w:rPr>
          <w:rFonts w:ascii="Times New Roman" w:hAnsi="Times New Roman" w:cs="Times New Roman"/>
        </w:rPr>
        <w:t>–</w:t>
      </w:r>
      <w:r w:rsidRPr="00192DF5">
        <w:rPr>
          <w:rFonts w:ascii="Times New Roman" w:hAnsi="Times New Roman" w:cs="Times New Roman"/>
        </w:rPr>
        <w:t xml:space="preserve"> Prawo bankowe </w:t>
      </w:r>
      <w:r w:rsidRPr="00192DF5">
        <w:rPr>
          <w:rFonts w:ascii="Times New Roman" w:hAnsi="Times New Roman" w:cs="Times New Roman"/>
          <w:bCs/>
        </w:rPr>
        <w:t>(Dz.</w:t>
      </w:r>
      <w:r w:rsidR="00C932B4" w:rsidRPr="00192DF5">
        <w:rPr>
          <w:rFonts w:ascii="Times New Roman" w:hAnsi="Times New Roman" w:cs="Times New Roman"/>
          <w:bCs/>
        </w:rPr>
        <w:t> </w:t>
      </w:r>
      <w:r w:rsidRPr="00192DF5">
        <w:rPr>
          <w:rFonts w:ascii="Times New Roman" w:hAnsi="Times New Roman" w:cs="Times New Roman"/>
          <w:bCs/>
        </w:rPr>
        <w:t>U.</w:t>
      </w:r>
      <w:r w:rsidR="00C932B4" w:rsidRPr="00192DF5">
        <w:rPr>
          <w:rFonts w:ascii="Times New Roman" w:hAnsi="Times New Roman" w:cs="Times New Roman"/>
          <w:bCs/>
        </w:rPr>
        <w:t> </w:t>
      </w:r>
      <w:r w:rsidRPr="00192DF5">
        <w:rPr>
          <w:rFonts w:ascii="Times New Roman" w:hAnsi="Times New Roman" w:cs="Times New Roman"/>
          <w:bCs/>
        </w:rPr>
        <w:t>z</w:t>
      </w:r>
      <w:r w:rsidR="00C932B4" w:rsidRPr="00192DF5">
        <w:rPr>
          <w:rFonts w:ascii="Times New Roman" w:hAnsi="Times New Roman" w:cs="Times New Roman"/>
          <w:bCs/>
        </w:rPr>
        <w:t> </w:t>
      </w:r>
      <w:r w:rsidRPr="00192DF5">
        <w:rPr>
          <w:rFonts w:ascii="Times New Roman" w:hAnsi="Times New Roman" w:cs="Times New Roman"/>
          <w:bCs/>
        </w:rPr>
        <w:t>202</w:t>
      </w:r>
      <w:r w:rsidR="00E4386D" w:rsidRPr="00192DF5">
        <w:rPr>
          <w:rFonts w:ascii="Times New Roman" w:hAnsi="Times New Roman" w:cs="Times New Roman"/>
          <w:bCs/>
        </w:rPr>
        <w:t>6</w:t>
      </w:r>
      <w:r w:rsidRPr="00192DF5">
        <w:rPr>
          <w:rFonts w:ascii="Times New Roman" w:hAnsi="Times New Roman" w:cs="Times New Roman"/>
          <w:bCs/>
        </w:rPr>
        <w:t xml:space="preserve"> r. poz. </w:t>
      </w:r>
      <w:r w:rsidR="00E4386D" w:rsidRPr="00192DF5">
        <w:rPr>
          <w:rFonts w:ascii="Times New Roman" w:hAnsi="Times New Roman" w:cs="Times New Roman"/>
          <w:bCs/>
        </w:rPr>
        <w:t>38</w:t>
      </w:r>
      <w:r w:rsidR="00C500D3" w:rsidRPr="00192DF5">
        <w:rPr>
          <w:rFonts w:ascii="Times New Roman" w:hAnsi="Times New Roman" w:cs="Times New Roman"/>
          <w:bCs/>
        </w:rPr>
        <w:t>,</w:t>
      </w:r>
      <w:r w:rsidR="00C030CF" w:rsidRPr="00192DF5">
        <w:rPr>
          <w:rFonts w:ascii="Times New Roman" w:hAnsi="Times New Roman" w:cs="Times New Roman"/>
          <w:bCs/>
        </w:rPr>
        <w:t xml:space="preserve"> </w:t>
      </w:r>
      <w:r w:rsidR="00C500D3" w:rsidRPr="00192DF5">
        <w:rPr>
          <w:rFonts w:ascii="Times New Roman" w:hAnsi="Times New Roman" w:cs="Times New Roman"/>
          <w:bCs/>
        </w:rPr>
        <w:t xml:space="preserve">z </w:t>
      </w:r>
      <w:proofErr w:type="spellStart"/>
      <w:r w:rsidR="00C500D3" w:rsidRPr="00192DF5">
        <w:rPr>
          <w:rFonts w:ascii="Times New Roman" w:hAnsi="Times New Roman" w:cs="Times New Roman"/>
          <w:bCs/>
        </w:rPr>
        <w:t>późn</w:t>
      </w:r>
      <w:proofErr w:type="spellEnd"/>
      <w:r w:rsidR="00C500D3" w:rsidRPr="00192DF5">
        <w:rPr>
          <w:rFonts w:ascii="Times New Roman" w:hAnsi="Times New Roman" w:cs="Times New Roman"/>
          <w:bCs/>
        </w:rPr>
        <w:t>. zm.</w:t>
      </w:r>
      <w:r w:rsidRPr="00192DF5">
        <w:rPr>
          <w:rFonts w:ascii="Times New Roman" w:hAnsi="Times New Roman" w:cs="Times New Roman"/>
          <w:bCs/>
        </w:rPr>
        <w:t>)</w:t>
      </w:r>
      <w:r w:rsidRPr="00192DF5">
        <w:rPr>
          <w:rFonts w:ascii="Times New Roman" w:hAnsi="Times New Roman" w:cs="Times New Roman"/>
        </w:rPr>
        <w:t xml:space="preserve">, </w:t>
      </w:r>
      <w:r w:rsidRPr="00192DF5">
        <w:rPr>
          <w:rFonts w:ascii="Times New Roman" w:hAnsi="Times New Roman" w:cs="Times New Roman"/>
          <w:bCs/>
        </w:rPr>
        <w:t>mogą zaakceptować taką wierzytelność jako zabezpieczenie</w:t>
      </w:r>
      <w:r w:rsidRPr="00192DF5">
        <w:rPr>
          <w:rFonts w:ascii="Times New Roman" w:hAnsi="Times New Roman" w:cs="Times New Roman"/>
        </w:rPr>
        <w:t xml:space="preserve"> np.</w:t>
      </w:r>
      <w:r w:rsidR="00C932B4" w:rsidRPr="00192DF5">
        <w:rPr>
          <w:rFonts w:ascii="Times New Roman" w:hAnsi="Times New Roman" w:cs="Times New Roman"/>
        </w:rPr>
        <w:t> </w:t>
      </w:r>
      <w:r w:rsidRPr="00192DF5">
        <w:rPr>
          <w:rFonts w:ascii="Times New Roman" w:hAnsi="Times New Roman" w:cs="Times New Roman"/>
        </w:rPr>
        <w:t xml:space="preserve">kredytu inwestycyjnego lub gwarancji bankowej. Odwołanie do art. 5 ust. 1 pkt 3 i 5 oraz ust. 2 pkt 1 ustawy z dnia 29 sierpnia 1997 r. </w:t>
      </w:r>
      <w:r w:rsidR="005056C1" w:rsidRPr="00192DF5">
        <w:rPr>
          <w:rFonts w:ascii="Times New Roman" w:hAnsi="Times New Roman" w:cs="Times New Roman"/>
        </w:rPr>
        <w:t>–</w:t>
      </w:r>
      <w:r w:rsidRPr="00192DF5">
        <w:rPr>
          <w:rFonts w:ascii="Times New Roman" w:hAnsi="Times New Roman" w:cs="Times New Roman"/>
        </w:rPr>
        <w:t xml:space="preserve"> Prawo</w:t>
      </w:r>
      <w:r w:rsidR="004A4643" w:rsidRPr="00192DF5">
        <w:rPr>
          <w:rFonts w:ascii="Times New Roman" w:hAnsi="Times New Roman" w:cs="Times New Roman"/>
        </w:rPr>
        <w:t xml:space="preserve"> bankowe precyzuje, że chodzi o</w:t>
      </w:r>
      <w:r w:rsidRPr="00192DF5">
        <w:rPr>
          <w:rFonts w:ascii="Times New Roman" w:hAnsi="Times New Roman" w:cs="Times New Roman"/>
        </w:rPr>
        <w:t xml:space="preserve"> czynności </w:t>
      </w:r>
      <w:r w:rsidR="00D4533F" w:rsidRPr="00192DF5">
        <w:rPr>
          <w:rFonts w:ascii="Times New Roman" w:hAnsi="Times New Roman" w:cs="Times New Roman"/>
        </w:rPr>
        <w:t xml:space="preserve">takie </w:t>
      </w:r>
      <w:r w:rsidRPr="00192DF5">
        <w:rPr>
          <w:rFonts w:ascii="Times New Roman" w:hAnsi="Times New Roman" w:cs="Times New Roman"/>
        </w:rPr>
        <w:t xml:space="preserve">jak: udzielanie kredytów, poręczeń, gwarancji czy nabywanie wierzytelności. Produkcje audiowizualne wymagają znaczących nakładów finansowych jeszcze przed wypłatą wsparcia – ten przepis </w:t>
      </w:r>
      <w:r w:rsidRPr="00192DF5">
        <w:rPr>
          <w:rFonts w:ascii="Times New Roman" w:hAnsi="Times New Roman" w:cs="Times New Roman"/>
          <w:bCs/>
        </w:rPr>
        <w:t>umożliwia wcześniejsze uzyskanie finansowania</w:t>
      </w:r>
      <w:r w:rsidRPr="00192DF5">
        <w:rPr>
          <w:rFonts w:ascii="Times New Roman" w:hAnsi="Times New Roman" w:cs="Times New Roman"/>
        </w:rPr>
        <w:t>, pod zabezpieczenie przyznanego wsparcia.</w:t>
      </w:r>
    </w:p>
    <w:p w14:paraId="12144ADB" w14:textId="40F2A291" w:rsidR="005F0841" w:rsidRPr="00192DF5" w:rsidRDefault="00007936" w:rsidP="00192DF5">
      <w:pPr>
        <w:tabs>
          <w:tab w:val="num" w:pos="720"/>
        </w:tabs>
        <w:spacing w:after="120" w:line="360" w:lineRule="auto"/>
        <w:jc w:val="both"/>
        <w:rPr>
          <w:rFonts w:ascii="Times New Roman" w:hAnsi="Times New Roman" w:cs="Times New Roman"/>
        </w:rPr>
      </w:pPr>
      <w:r w:rsidRPr="00192DF5">
        <w:rPr>
          <w:rFonts w:ascii="Times New Roman" w:hAnsi="Times New Roman" w:cs="Times New Roman"/>
          <w:bCs/>
        </w:rPr>
        <w:t>Przepis ust</w:t>
      </w:r>
      <w:r w:rsidR="005056C1" w:rsidRPr="00192DF5">
        <w:rPr>
          <w:rFonts w:ascii="Times New Roman" w:hAnsi="Times New Roman" w:cs="Times New Roman"/>
          <w:bCs/>
        </w:rPr>
        <w:t>.</w:t>
      </w:r>
      <w:r w:rsidRPr="00192DF5">
        <w:rPr>
          <w:rFonts w:ascii="Times New Roman" w:hAnsi="Times New Roman" w:cs="Times New Roman"/>
          <w:bCs/>
        </w:rPr>
        <w:t xml:space="preserve"> 1b precyzuje możliwy cel przelewu przez ograniczenie możliwości przelewu wierzytelności</w:t>
      </w:r>
      <w:r w:rsidRPr="00192DF5">
        <w:rPr>
          <w:rFonts w:ascii="Times New Roman" w:hAnsi="Times New Roman" w:cs="Times New Roman"/>
        </w:rPr>
        <w:t xml:space="preserve"> wyłącznie do celu związanego z </w:t>
      </w:r>
      <w:r w:rsidRPr="00192DF5">
        <w:rPr>
          <w:rFonts w:ascii="Times New Roman" w:hAnsi="Times New Roman" w:cs="Times New Roman"/>
          <w:bCs/>
        </w:rPr>
        <w:t>produkcją audiowizualną</w:t>
      </w:r>
      <w:r w:rsidRPr="00192DF5">
        <w:rPr>
          <w:rFonts w:ascii="Times New Roman" w:hAnsi="Times New Roman" w:cs="Times New Roman"/>
        </w:rPr>
        <w:t>, tj. dokładnie tego celu, na który przyznano wsparcie. Przepis ogranicza również kwotę przelewu do wysokości sumy zgromadzonej na rachunku powierniczym, zaś p</w:t>
      </w:r>
      <w:r w:rsidRPr="00192DF5">
        <w:rPr>
          <w:rFonts w:ascii="Times New Roman" w:hAnsi="Times New Roman" w:cs="Times New Roman"/>
          <w:bCs/>
        </w:rPr>
        <w:t>rzepis ust</w:t>
      </w:r>
      <w:r w:rsidR="005056C1" w:rsidRPr="00192DF5">
        <w:rPr>
          <w:rFonts w:ascii="Times New Roman" w:hAnsi="Times New Roman" w:cs="Times New Roman"/>
          <w:bCs/>
        </w:rPr>
        <w:t>.</w:t>
      </w:r>
      <w:r w:rsidRPr="00192DF5">
        <w:rPr>
          <w:rFonts w:ascii="Times New Roman" w:hAnsi="Times New Roman" w:cs="Times New Roman"/>
          <w:bCs/>
        </w:rPr>
        <w:t xml:space="preserve"> 1c wskazuje, że przelew wierzytelności może obejmować jedynie kwotę wsparcia finansowego przyznanego przez </w:t>
      </w:r>
      <w:r w:rsidR="005056C1" w:rsidRPr="00192DF5">
        <w:rPr>
          <w:rFonts w:ascii="Times New Roman" w:hAnsi="Times New Roman" w:cs="Times New Roman"/>
          <w:bCs/>
        </w:rPr>
        <w:t>PISF</w:t>
      </w:r>
      <w:r w:rsidRPr="00192DF5">
        <w:rPr>
          <w:rFonts w:ascii="Times New Roman" w:hAnsi="Times New Roman" w:cs="Times New Roman"/>
        </w:rPr>
        <w:t xml:space="preserve">. Ograniczenia te </w:t>
      </w:r>
      <w:r w:rsidRPr="00192DF5">
        <w:rPr>
          <w:rFonts w:ascii="Times New Roman" w:hAnsi="Times New Roman" w:cs="Times New Roman"/>
          <w:bCs/>
        </w:rPr>
        <w:t>eliminują ryzyko nadużyć</w:t>
      </w:r>
      <w:r w:rsidRPr="00192DF5">
        <w:rPr>
          <w:rFonts w:ascii="Times New Roman" w:hAnsi="Times New Roman" w:cs="Times New Roman"/>
        </w:rPr>
        <w:t xml:space="preserve"> i wykorzystania promesy wsparcia do finansowania działalności niezwiązanej z produkcją filmową.</w:t>
      </w:r>
    </w:p>
    <w:p w14:paraId="2F887B7E" w14:textId="65648C83" w:rsidR="005F0841" w:rsidRPr="00192DF5" w:rsidRDefault="00007936" w:rsidP="00192DF5">
      <w:pPr>
        <w:tabs>
          <w:tab w:val="num" w:pos="720"/>
        </w:tabs>
        <w:spacing w:after="120" w:line="360" w:lineRule="auto"/>
        <w:jc w:val="both"/>
        <w:rPr>
          <w:rFonts w:ascii="Times New Roman" w:hAnsi="Times New Roman" w:cs="Times New Roman"/>
        </w:rPr>
      </w:pPr>
      <w:r w:rsidRPr="00192DF5">
        <w:rPr>
          <w:rFonts w:ascii="Times New Roman" w:hAnsi="Times New Roman" w:cs="Times New Roman"/>
          <w:bCs/>
        </w:rPr>
        <w:t>Przepis ust</w:t>
      </w:r>
      <w:r w:rsidR="005056C1" w:rsidRPr="00192DF5">
        <w:rPr>
          <w:rFonts w:ascii="Times New Roman" w:hAnsi="Times New Roman" w:cs="Times New Roman"/>
          <w:bCs/>
        </w:rPr>
        <w:t>.</w:t>
      </w:r>
      <w:r w:rsidRPr="00192DF5">
        <w:rPr>
          <w:rFonts w:ascii="Times New Roman" w:hAnsi="Times New Roman" w:cs="Times New Roman"/>
          <w:bCs/>
        </w:rPr>
        <w:t xml:space="preserve"> 1d nałoży na przedsiębiorcę obowiązek informacyjny, który ma na celu z</w:t>
      </w:r>
      <w:r w:rsidRPr="00192DF5">
        <w:rPr>
          <w:rFonts w:ascii="Times New Roman" w:hAnsi="Times New Roman" w:cs="Times New Roman"/>
        </w:rPr>
        <w:t xml:space="preserve">apewnienie </w:t>
      </w:r>
      <w:r w:rsidRPr="00192DF5">
        <w:rPr>
          <w:rFonts w:ascii="Times New Roman" w:hAnsi="Times New Roman" w:cs="Times New Roman"/>
          <w:bCs/>
        </w:rPr>
        <w:t>transparentności i kontroli</w:t>
      </w:r>
      <w:r w:rsidRPr="00192DF5">
        <w:rPr>
          <w:rFonts w:ascii="Times New Roman" w:hAnsi="Times New Roman" w:cs="Times New Roman"/>
        </w:rPr>
        <w:t xml:space="preserve"> nad operacjami przeniesienia wierzytelności.</w:t>
      </w:r>
      <w:r w:rsidR="009B0249" w:rsidRPr="00192DF5">
        <w:rPr>
          <w:rFonts w:ascii="Times New Roman" w:hAnsi="Times New Roman" w:cs="Times New Roman"/>
        </w:rPr>
        <w:t xml:space="preserve"> Przedsiębiorca, który zawarł umowę przelewu </w:t>
      </w:r>
      <w:r w:rsidR="009B0249" w:rsidRPr="00192DF5">
        <w:rPr>
          <w:rFonts w:ascii="Times New Roman" w:hAnsi="Times New Roman" w:cs="Times New Roman"/>
          <w:bCs/>
        </w:rPr>
        <w:t>wierzytelności</w:t>
      </w:r>
      <w:r w:rsidR="005935ED" w:rsidRPr="00192DF5">
        <w:rPr>
          <w:rFonts w:ascii="Times New Roman" w:hAnsi="Times New Roman" w:cs="Times New Roman"/>
          <w:bCs/>
        </w:rPr>
        <w:t>,</w:t>
      </w:r>
      <w:r w:rsidR="009B0249" w:rsidRPr="00192DF5">
        <w:rPr>
          <w:rFonts w:ascii="Times New Roman" w:hAnsi="Times New Roman" w:cs="Times New Roman"/>
          <w:bCs/>
        </w:rPr>
        <w:t xml:space="preserve"> będzie obowiązany poinformować o tym PISF oraz Bank Gospodarstwa Krajowego w terminie 3 dni, przekazując im równocześnie tę umowę albo jej kopię poświadczoną notarialnie.</w:t>
      </w:r>
      <w:r w:rsidR="00BC26D3" w:rsidRPr="00192DF5">
        <w:rPr>
          <w:rFonts w:ascii="Times New Roman" w:hAnsi="Times New Roman" w:cs="Times New Roman"/>
          <w:bCs/>
        </w:rPr>
        <w:t xml:space="preserve"> Należy podkreślić, że</w:t>
      </w:r>
      <w:r w:rsidR="001B7215" w:rsidRPr="00192DF5">
        <w:rPr>
          <w:rFonts w:ascii="Times New Roman" w:hAnsi="Times New Roman" w:cs="Times New Roman"/>
          <w:bCs/>
        </w:rPr>
        <w:t xml:space="preserve"> </w:t>
      </w:r>
      <w:r w:rsidR="001B7215" w:rsidRPr="00192DF5">
        <w:rPr>
          <w:rFonts w:ascii="Times New Roman" w:hAnsi="Times New Roman" w:cs="Times New Roman"/>
        </w:rPr>
        <w:t>środki przeznaczone na wsparcie finansowe w ramach ustawy pochodzą z budżetu państwa i wymagają szczególnej troski co do sposobu ich wydatkowania i zabezpieczenia.</w:t>
      </w:r>
      <w:r w:rsidR="00BC26D3" w:rsidRPr="00192DF5">
        <w:rPr>
          <w:rFonts w:ascii="Times New Roman" w:hAnsi="Times New Roman" w:cs="Times New Roman"/>
          <w:bCs/>
        </w:rPr>
        <w:t xml:space="preserve"> </w:t>
      </w:r>
      <w:r w:rsidR="001B7215" w:rsidRPr="00192DF5">
        <w:rPr>
          <w:rFonts w:ascii="Times New Roman" w:hAnsi="Times New Roman" w:cs="Times New Roman"/>
          <w:bCs/>
        </w:rPr>
        <w:lastRenderedPageBreak/>
        <w:t>P</w:t>
      </w:r>
      <w:r w:rsidR="00BC26D3" w:rsidRPr="00192DF5">
        <w:rPr>
          <w:rFonts w:ascii="Times New Roman" w:hAnsi="Times New Roman" w:cs="Times New Roman"/>
          <w:bCs/>
        </w:rPr>
        <w:t>rzekazywanie pełnej treści umowy przelewu wierzytelności do PISF oraz BGK jest niezbędne, ze względu na konieczność dokładnej i wszechstronnej analizy tych umów w celu zabezpieczenia interesu skarbu państwa i uniknięcia ewentualnych nieprawidłowości. Przekazanie wyciągu z umowy lub innego dokumentu potwierdzającego jej istotne warunki nie byłoby więc wystarczające.</w:t>
      </w:r>
      <w:r w:rsidRPr="00192DF5">
        <w:rPr>
          <w:rFonts w:ascii="Times New Roman" w:hAnsi="Times New Roman" w:cs="Times New Roman"/>
          <w:bCs/>
        </w:rPr>
        <w:t xml:space="preserve"> </w:t>
      </w:r>
      <w:r w:rsidR="005935ED" w:rsidRPr="00192DF5">
        <w:rPr>
          <w:rFonts w:ascii="Times New Roman" w:hAnsi="Times New Roman" w:cs="Times New Roman"/>
          <w:bCs/>
        </w:rPr>
        <w:t>PISF</w:t>
      </w:r>
      <w:r w:rsidRPr="00192DF5">
        <w:rPr>
          <w:rFonts w:ascii="Times New Roman" w:hAnsi="Times New Roman" w:cs="Times New Roman"/>
          <w:bCs/>
        </w:rPr>
        <w:t xml:space="preserve"> oraz Bank Gospodarstwa Krajowego muszą znać nowego wierzyciela (bank), aby móc w</w:t>
      </w:r>
      <w:r w:rsidR="00C932B4" w:rsidRPr="00192DF5">
        <w:rPr>
          <w:rFonts w:ascii="Times New Roman" w:hAnsi="Times New Roman" w:cs="Times New Roman"/>
          <w:bCs/>
        </w:rPr>
        <w:t> </w:t>
      </w:r>
      <w:r w:rsidRPr="00192DF5">
        <w:rPr>
          <w:rFonts w:ascii="Times New Roman" w:hAnsi="Times New Roman" w:cs="Times New Roman"/>
          <w:bCs/>
        </w:rPr>
        <w:t>przyszłości prawidłowo przekazać środki</w:t>
      </w:r>
      <w:r w:rsidRPr="00192DF5">
        <w:rPr>
          <w:rFonts w:ascii="Times New Roman" w:hAnsi="Times New Roman" w:cs="Times New Roman"/>
        </w:rPr>
        <w:t xml:space="preserve"> oraz weryfikować zgodność działania z umową wsparcia. Wskazany w przepisie termin 3 dni ma na celu </w:t>
      </w:r>
      <w:r w:rsidRPr="00192DF5">
        <w:rPr>
          <w:rFonts w:ascii="Times New Roman" w:hAnsi="Times New Roman" w:cs="Times New Roman"/>
          <w:bCs/>
        </w:rPr>
        <w:t>zachowanie ciągłości informacji</w:t>
      </w:r>
      <w:r w:rsidRPr="00192DF5">
        <w:rPr>
          <w:rFonts w:ascii="Times New Roman" w:hAnsi="Times New Roman" w:cs="Times New Roman"/>
        </w:rPr>
        <w:t xml:space="preserve"> i umożliwienie szybkiej reakcji w razie nieprawidłowości.</w:t>
      </w:r>
    </w:p>
    <w:p w14:paraId="21F652A3" w14:textId="3BE30514" w:rsidR="005F0841" w:rsidRPr="00192DF5" w:rsidRDefault="00007936" w:rsidP="00192DF5">
      <w:pPr>
        <w:tabs>
          <w:tab w:val="num" w:pos="720"/>
        </w:tabs>
        <w:spacing w:after="120" w:line="360" w:lineRule="auto"/>
        <w:jc w:val="both"/>
        <w:rPr>
          <w:rFonts w:ascii="Times New Roman" w:hAnsi="Times New Roman" w:cs="Times New Roman"/>
        </w:rPr>
      </w:pPr>
      <w:r w:rsidRPr="00192DF5">
        <w:rPr>
          <w:rFonts w:ascii="Times New Roman" w:hAnsi="Times New Roman" w:cs="Times New Roman"/>
        </w:rPr>
        <w:t>Przepis ust</w:t>
      </w:r>
      <w:r w:rsidR="005935ED" w:rsidRPr="00192DF5">
        <w:rPr>
          <w:rFonts w:ascii="Times New Roman" w:hAnsi="Times New Roman" w:cs="Times New Roman"/>
        </w:rPr>
        <w:t>.</w:t>
      </w:r>
      <w:r w:rsidRPr="00192DF5">
        <w:rPr>
          <w:rFonts w:ascii="Times New Roman" w:hAnsi="Times New Roman" w:cs="Times New Roman"/>
        </w:rPr>
        <w:t xml:space="preserve"> </w:t>
      </w:r>
      <w:r w:rsidRPr="00192DF5">
        <w:rPr>
          <w:rFonts w:ascii="Times New Roman" w:hAnsi="Times New Roman" w:cs="Times New Roman"/>
          <w:bCs/>
        </w:rPr>
        <w:t>1e umożliwia bankowi dostęp do środków wsparcia</w:t>
      </w:r>
      <w:r w:rsidRPr="00192DF5">
        <w:rPr>
          <w:rFonts w:ascii="Times New Roman" w:hAnsi="Times New Roman" w:cs="Times New Roman"/>
        </w:rPr>
        <w:t xml:space="preserve">, z pominięciem przedsiębiorcy, </w:t>
      </w:r>
      <w:r w:rsidRPr="00192DF5">
        <w:rPr>
          <w:rFonts w:ascii="Times New Roman" w:hAnsi="Times New Roman" w:cs="Times New Roman"/>
          <w:bCs/>
        </w:rPr>
        <w:t>w ramach wykonania zabezpieczenia, zgodnie z terminami i w kwotach wynikających z harmonogramu umowy o</w:t>
      </w:r>
      <w:r w:rsidR="00C932B4" w:rsidRPr="00192DF5">
        <w:rPr>
          <w:rFonts w:ascii="Times New Roman" w:hAnsi="Times New Roman" w:cs="Times New Roman"/>
          <w:bCs/>
        </w:rPr>
        <w:t> </w:t>
      </w:r>
      <w:r w:rsidRPr="00192DF5">
        <w:rPr>
          <w:rFonts w:ascii="Times New Roman" w:hAnsi="Times New Roman" w:cs="Times New Roman"/>
          <w:bCs/>
        </w:rPr>
        <w:t>wsparcie finansowe</w:t>
      </w:r>
      <w:r w:rsidRPr="00192DF5">
        <w:rPr>
          <w:rFonts w:ascii="Times New Roman" w:hAnsi="Times New Roman" w:cs="Times New Roman"/>
        </w:rPr>
        <w:t xml:space="preserve">. Przepis ten </w:t>
      </w:r>
      <w:r w:rsidRPr="00192DF5">
        <w:rPr>
          <w:rFonts w:ascii="Times New Roman" w:hAnsi="Times New Roman" w:cs="Times New Roman"/>
          <w:bCs/>
        </w:rPr>
        <w:t>chroni bank</w:t>
      </w:r>
      <w:r w:rsidRPr="00192DF5">
        <w:rPr>
          <w:rFonts w:ascii="Times New Roman" w:hAnsi="Times New Roman" w:cs="Times New Roman"/>
        </w:rPr>
        <w:t>, który dzięki temu ma gwarancję spłaty wierzytelności.</w:t>
      </w:r>
    </w:p>
    <w:p w14:paraId="01CD0418" w14:textId="343CED5B" w:rsidR="005F0841" w:rsidRPr="00192DF5" w:rsidRDefault="00007936" w:rsidP="00192DF5">
      <w:pPr>
        <w:tabs>
          <w:tab w:val="num" w:pos="720"/>
        </w:tabs>
        <w:spacing w:after="120" w:line="360" w:lineRule="auto"/>
        <w:jc w:val="both"/>
        <w:rPr>
          <w:rFonts w:ascii="Times New Roman" w:hAnsi="Times New Roman" w:cs="Times New Roman"/>
        </w:rPr>
      </w:pPr>
      <w:r w:rsidRPr="00192DF5">
        <w:rPr>
          <w:rFonts w:ascii="Times New Roman" w:hAnsi="Times New Roman" w:cs="Times New Roman"/>
        </w:rPr>
        <w:t>Celem projektowanego ust</w:t>
      </w:r>
      <w:r w:rsidR="005935ED" w:rsidRPr="00192DF5">
        <w:rPr>
          <w:rFonts w:ascii="Times New Roman" w:hAnsi="Times New Roman" w:cs="Times New Roman"/>
        </w:rPr>
        <w:t>.</w:t>
      </w:r>
      <w:r w:rsidRPr="00192DF5">
        <w:rPr>
          <w:rFonts w:ascii="Times New Roman" w:hAnsi="Times New Roman" w:cs="Times New Roman"/>
        </w:rPr>
        <w:t xml:space="preserve"> 1f jest zapewnienie prawidłowości i bezpieczeństwa obrotu środkami finansowymi gromadzonymi na rachunku powierniczym prowadzonym przez Bank Gospodarstwa Krajowego. Uregulowanie to w sposób jednoznaczny wiąże możliwość realizacji dyspozycji o wypłatę środków z wcześniejszym uzyskaniem przez bank pisemnej informacji o dokonaniu przez </w:t>
      </w:r>
      <w:r w:rsidR="005935ED" w:rsidRPr="00192DF5">
        <w:rPr>
          <w:rFonts w:ascii="Times New Roman" w:hAnsi="Times New Roman" w:cs="Times New Roman"/>
        </w:rPr>
        <w:t>PISF</w:t>
      </w:r>
      <w:r w:rsidRPr="00192DF5">
        <w:rPr>
          <w:rFonts w:ascii="Times New Roman" w:hAnsi="Times New Roman" w:cs="Times New Roman"/>
        </w:rPr>
        <w:t xml:space="preserve"> pozytywnej weryfikacji raportu, o któr</w:t>
      </w:r>
      <w:r w:rsidR="005935ED" w:rsidRPr="00192DF5">
        <w:rPr>
          <w:rFonts w:ascii="Times New Roman" w:hAnsi="Times New Roman" w:cs="Times New Roman"/>
        </w:rPr>
        <w:t>ej</w:t>
      </w:r>
      <w:r w:rsidRPr="00192DF5">
        <w:rPr>
          <w:rFonts w:ascii="Times New Roman" w:hAnsi="Times New Roman" w:cs="Times New Roman"/>
        </w:rPr>
        <w:t xml:space="preserve"> mowa w art. 26 ust. 1. Rozwiązanie to służy zagwarantowaniu, że środki zostaną uruchomione wyłącznie po potwierdzeniu spełnienia przez beneficjenta obowiązków związanych z realizacją przedsięwzięcia, co zapewnia właściwe i zgodne z celem wykorzystanie środków publicznych. Rozwiązanie to ogranicza ryzyko nieuprawnionego dysponowania środkami oraz wzmacnia przejrzystość procedur, a tym samym przyczynia się do ochrony interesu publicznego.</w:t>
      </w:r>
    </w:p>
    <w:p w14:paraId="3122CE22" w14:textId="20F55758" w:rsidR="005F0841" w:rsidRPr="00192DF5" w:rsidRDefault="00007936" w:rsidP="00192DF5">
      <w:pPr>
        <w:tabs>
          <w:tab w:val="num" w:pos="720"/>
        </w:tabs>
        <w:spacing w:after="120" w:line="360" w:lineRule="auto"/>
        <w:jc w:val="both"/>
        <w:rPr>
          <w:rFonts w:ascii="Times New Roman" w:hAnsi="Times New Roman" w:cs="Times New Roman"/>
        </w:rPr>
      </w:pPr>
      <w:r w:rsidRPr="00192DF5">
        <w:rPr>
          <w:rFonts w:ascii="Times New Roman" w:hAnsi="Times New Roman" w:cs="Times New Roman"/>
        </w:rPr>
        <w:t>Wprowadzenie przepisów art. 24 ust. 1a–1</w:t>
      </w:r>
      <w:r w:rsidR="004314AC" w:rsidRPr="00192DF5">
        <w:rPr>
          <w:rFonts w:ascii="Times New Roman" w:hAnsi="Times New Roman" w:cs="Times New Roman"/>
        </w:rPr>
        <w:t>g</w:t>
      </w:r>
      <w:r w:rsidRPr="00192DF5">
        <w:rPr>
          <w:rFonts w:ascii="Times New Roman" w:hAnsi="Times New Roman" w:cs="Times New Roman"/>
        </w:rPr>
        <w:t xml:space="preserve"> umożliwi wykorzystanie przyznanego wsparcia jako </w:t>
      </w:r>
      <w:r w:rsidRPr="00192DF5">
        <w:rPr>
          <w:rFonts w:ascii="Times New Roman" w:hAnsi="Times New Roman" w:cs="Times New Roman"/>
          <w:bCs/>
        </w:rPr>
        <w:t>zabezpieczenia kredytowego</w:t>
      </w:r>
      <w:r w:rsidRPr="00192DF5">
        <w:rPr>
          <w:rFonts w:ascii="Times New Roman" w:hAnsi="Times New Roman" w:cs="Times New Roman"/>
        </w:rPr>
        <w:t xml:space="preserve"> (bez wypłaty środków z góry), wesprze </w:t>
      </w:r>
      <w:r w:rsidRPr="00192DF5">
        <w:rPr>
          <w:rFonts w:ascii="Times New Roman" w:hAnsi="Times New Roman" w:cs="Times New Roman"/>
          <w:bCs/>
        </w:rPr>
        <w:t>profesjonalizację produkcji audiowizualnej</w:t>
      </w:r>
      <w:r w:rsidRPr="00192DF5">
        <w:rPr>
          <w:rFonts w:ascii="Times New Roman" w:hAnsi="Times New Roman" w:cs="Times New Roman"/>
        </w:rPr>
        <w:t xml:space="preserve">, dając dostęp do instrumentów finansowych z sektora bankowego, </w:t>
      </w:r>
      <w:r w:rsidR="00EF1212" w:rsidRPr="00192DF5">
        <w:rPr>
          <w:rFonts w:ascii="Times New Roman" w:hAnsi="Times New Roman" w:cs="Times New Roman"/>
          <w:bCs/>
        </w:rPr>
        <w:t>zapewni precyzyjne</w:t>
      </w:r>
      <w:r w:rsidRPr="00192DF5">
        <w:rPr>
          <w:rFonts w:ascii="Times New Roman" w:hAnsi="Times New Roman" w:cs="Times New Roman"/>
          <w:bCs/>
        </w:rPr>
        <w:t xml:space="preserve"> ramy prawne i kontrolne</w:t>
      </w:r>
      <w:r w:rsidRPr="00192DF5">
        <w:rPr>
          <w:rFonts w:ascii="Times New Roman" w:hAnsi="Times New Roman" w:cs="Times New Roman"/>
        </w:rPr>
        <w:t xml:space="preserve"> dla przelewów wierzytelności i wypłat z rachunku powierniczego oraz</w:t>
      </w:r>
      <w:r w:rsidR="00C932B4" w:rsidRPr="00192DF5">
        <w:rPr>
          <w:rFonts w:ascii="Times New Roman" w:hAnsi="Times New Roman" w:cs="Times New Roman"/>
        </w:rPr>
        <w:t> </w:t>
      </w:r>
      <w:r w:rsidR="00EF1212" w:rsidRPr="00192DF5">
        <w:rPr>
          <w:rFonts w:ascii="Times New Roman" w:hAnsi="Times New Roman" w:cs="Times New Roman"/>
        </w:rPr>
        <w:t>za</w:t>
      </w:r>
      <w:r w:rsidRPr="00192DF5">
        <w:rPr>
          <w:rFonts w:ascii="Times New Roman" w:hAnsi="Times New Roman" w:cs="Times New Roman"/>
        </w:rPr>
        <w:t xml:space="preserve">gwarantuje, że środki publiczne będą wykorzystywane </w:t>
      </w:r>
      <w:r w:rsidRPr="00192DF5">
        <w:rPr>
          <w:rFonts w:ascii="Times New Roman" w:hAnsi="Times New Roman" w:cs="Times New Roman"/>
          <w:bCs/>
        </w:rPr>
        <w:t>wyłącznie zgodnie z przeznaczeniem</w:t>
      </w:r>
      <w:r w:rsidRPr="00192DF5">
        <w:rPr>
          <w:rFonts w:ascii="Times New Roman" w:hAnsi="Times New Roman" w:cs="Times New Roman"/>
        </w:rPr>
        <w:t xml:space="preserve"> i</w:t>
      </w:r>
      <w:r w:rsidR="00C932B4" w:rsidRPr="00192DF5">
        <w:rPr>
          <w:rFonts w:ascii="Times New Roman" w:hAnsi="Times New Roman" w:cs="Times New Roman"/>
        </w:rPr>
        <w:t> </w:t>
      </w:r>
      <w:r w:rsidRPr="00192DF5">
        <w:rPr>
          <w:rFonts w:ascii="Times New Roman" w:hAnsi="Times New Roman" w:cs="Times New Roman"/>
        </w:rPr>
        <w:t>na</w:t>
      </w:r>
      <w:r w:rsidR="00C932B4" w:rsidRPr="00192DF5">
        <w:rPr>
          <w:rFonts w:ascii="Times New Roman" w:hAnsi="Times New Roman" w:cs="Times New Roman"/>
        </w:rPr>
        <w:t> </w:t>
      </w:r>
      <w:r w:rsidRPr="00192DF5">
        <w:rPr>
          <w:rFonts w:ascii="Times New Roman" w:hAnsi="Times New Roman" w:cs="Times New Roman"/>
        </w:rPr>
        <w:t xml:space="preserve">podstawie </w:t>
      </w:r>
      <w:r w:rsidRPr="00192DF5">
        <w:rPr>
          <w:rFonts w:ascii="Times New Roman" w:hAnsi="Times New Roman" w:cs="Times New Roman"/>
          <w:bCs/>
        </w:rPr>
        <w:t>zweryfikowanego wykonania produkcji</w:t>
      </w:r>
      <w:r w:rsidRPr="00192DF5">
        <w:rPr>
          <w:rFonts w:ascii="Times New Roman" w:hAnsi="Times New Roman" w:cs="Times New Roman"/>
        </w:rPr>
        <w:t>.</w:t>
      </w:r>
    </w:p>
    <w:p w14:paraId="1F4AB7C9" w14:textId="73D5E988" w:rsidR="005F0841" w:rsidRPr="00192DF5" w:rsidRDefault="00007936" w:rsidP="00192DF5">
      <w:pPr>
        <w:tabs>
          <w:tab w:val="num" w:pos="720"/>
        </w:tabs>
        <w:spacing w:after="120" w:line="360" w:lineRule="auto"/>
        <w:jc w:val="both"/>
        <w:rPr>
          <w:rFonts w:ascii="Times New Roman" w:hAnsi="Times New Roman" w:cs="Times New Roman"/>
        </w:rPr>
      </w:pPr>
      <w:r w:rsidRPr="00192DF5">
        <w:rPr>
          <w:rFonts w:ascii="Times New Roman" w:hAnsi="Times New Roman" w:cs="Times New Roman"/>
        </w:rPr>
        <w:t xml:space="preserve">Należy podkreślić, że projekt </w:t>
      </w:r>
      <w:r w:rsidR="004314AC" w:rsidRPr="00192DF5">
        <w:rPr>
          <w:rFonts w:ascii="Times New Roman" w:hAnsi="Times New Roman" w:cs="Times New Roman"/>
        </w:rPr>
        <w:t>ustawy</w:t>
      </w:r>
      <w:r w:rsidRPr="00192DF5">
        <w:rPr>
          <w:rFonts w:ascii="Times New Roman" w:hAnsi="Times New Roman" w:cs="Times New Roman"/>
        </w:rPr>
        <w:t xml:space="preserve"> pozostaje w pełnej zgodności z obowiązującymi przepisami ustawy z</w:t>
      </w:r>
      <w:r w:rsidR="00C932B4" w:rsidRPr="00192DF5">
        <w:rPr>
          <w:rFonts w:ascii="Times New Roman" w:hAnsi="Times New Roman" w:cs="Times New Roman"/>
        </w:rPr>
        <w:t> </w:t>
      </w:r>
      <w:r w:rsidRPr="00192DF5">
        <w:rPr>
          <w:rFonts w:ascii="Times New Roman" w:hAnsi="Times New Roman" w:cs="Times New Roman"/>
        </w:rPr>
        <w:t xml:space="preserve">dnia 29 sierpnia 1997 r. – Prawo bankowe (art. 70 i nast.) oraz ustawy z dnia 14 marca 2003 r. o Banku Gospodarstwa Krajowego </w:t>
      </w:r>
      <w:r w:rsidR="00EF1212" w:rsidRPr="00192DF5">
        <w:rPr>
          <w:rFonts w:ascii="Times New Roman" w:hAnsi="Times New Roman" w:cs="Times New Roman"/>
        </w:rPr>
        <w:t>(Dz. U. z 202</w:t>
      </w:r>
      <w:r w:rsidR="005154CB" w:rsidRPr="00192DF5">
        <w:rPr>
          <w:rFonts w:ascii="Times New Roman" w:hAnsi="Times New Roman" w:cs="Times New Roman"/>
        </w:rPr>
        <w:t>6</w:t>
      </w:r>
      <w:r w:rsidR="00EF1212" w:rsidRPr="00192DF5">
        <w:rPr>
          <w:rFonts w:ascii="Times New Roman" w:hAnsi="Times New Roman" w:cs="Times New Roman"/>
        </w:rPr>
        <w:t xml:space="preserve"> r. poz. </w:t>
      </w:r>
      <w:r w:rsidR="00975B50" w:rsidRPr="00192DF5">
        <w:rPr>
          <w:rFonts w:ascii="Times New Roman" w:hAnsi="Times New Roman" w:cs="Times New Roman"/>
        </w:rPr>
        <w:t>195</w:t>
      </w:r>
      <w:r w:rsidR="00EF1212" w:rsidRPr="00192DF5">
        <w:rPr>
          <w:rFonts w:ascii="Times New Roman" w:hAnsi="Times New Roman" w:cs="Times New Roman"/>
        </w:rPr>
        <w:t xml:space="preserve">) </w:t>
      </w:r>
      <w:r w:rsidRPr="00192DF5">
        <w:rPr>
          <w:rFonts w:ascii="Times New Roman" w:hAnsi="Times New Roman" w:cs="Times New Roman"/>
        </w:rPr>
        <w:t xml:space="preserve">(art. 4 i </w:t>
      </w:r>
      <w:r w:rsidRPr="00192DF5">
        <w:rPr>
          <w:rFonts w:ascii="Times New Roman" w:hAnsi="Times New Roman" w:cs="Times New Roman"/>
        </w:rPr>
        <w:lastRenderedPageBreak/>
        <w:t xml:space="preserve">nast.). Przepisy </w:t>
      </w:r>
      <w:r w:rsidR="00EF1212" w:rsidRPr="00192DF5">
        <w:rPr>
          <w:rFonts w:ascii="Times New Roman" w:hAnsi="Times New Roman" w:cs="Times New Roman"/>
        </w:rPr>
        <w:t>tych</w:t>
      </w:r>
      <w:r w:rsidRPr="00192DF5">
        <w:rPr>
          <w:rFonts w:ascii="Times New Roman" w:hAnsi="Times New Roman" w:cs="Times New Roman"/>
        </w:rPr>
        <w:t xml:space="preserve"> ustaw znajdują nadal pełne zastosowanie, a procedury </w:t>
      </w:r>
      <w:r w:rsidR="00EF1212" w:rsidRPr="00192DF5">
        <w:rPr>
          <w:rFonts w:ascii="Times New Roman" w:hAnsi="Times New Roman" w:cs="Times New Roman"/>
        </w:rPr>
        <w:t>w nich</w:t>
      </w:r>
      <w:r w:rsidRPr="00192DF5">
        <w:rPr>
          <w:rFonts w:ascii="Times New Roman" w:hAnsi="Times New Roman" w:cs="Times New Roman"/>
        </w:rPr>
        <w:t xml:space="preserve"> określone będą obowiązywały również po wejściu w życie nowych regulacji.</w:t>
      </w:r>
    </w:p>
    <w:p w14:paraId="107964CD" w14:textId="706D0BDA" w:rsidR="005F0841" w:rsidRPr="00192DF5" w:rsidRDefault="00007936" w:rsidP="00192DF5">
      <w:pPr>
        <w:tabs>
          <w:tab w:val="num" w:pos="720"/>
        </w:tabs>
        <w:spacing w:after="120" w:line="360" w:lineRule="auto"/>
        <w:jc w:val="both"/>
        <w:rPr>
          <w:rFonts w:ascii="Times New Roman" w:hAnsi="Times New Roman" w:cs="Times New Roman"/>
        </w:rPr>
      </w:pPr>
      <w:r w:rsidRPr="00192DF5">
        <w:rPr>
          <w:rFonts w:ascii="Times New Roman" w:hAnsi="Times New Roman" w:cs="Times New Roman"/>
        </w:rPr>
        <w:t xml:space="preserve">W szczególności należy wskazać, że w ramach projektowanego mechanizmu Bank Gospodarstwa Krajowego nie występuje w roli kredytodawcy wobec producentów audiowizualnych. Zgodnie z art. 24 ust. 1 ustawy: </w:t>
      </w:r>
      <w:r w:rsidRPr="00192DF5">
        <w:rPr>
          <w:rFonts w:ascii="Times New Roman" w:hAnsi="Times New Roman" w:cs="Times New Roman"/>
          <w:i/>
        </w:rPr>
        <w:t>Instytut wypłaca wsparcie finansowe po zawarciu umowy o wsparcie finansowe na</w:t>
      </w:r>
      <w:r w:rsidR="00C932B4" w:rsidRPr="00192DF5">
        <w:rPr>
          <w:rFonts w:ascii="Times New Roman" w:hAnsi="Times New Roman" w:cs="Times New Roman"/>
          <w:i/>
        </w:rPr>
        <w:t> </w:t>
      </w:r>
      <w:r w:rsidRPr="00192DF5">
        <w:rPr>
          <w:rFonts w:ascii="Times New Roman" w:hAnsi="Times New Roman" w:cs="Times New Roman"/>
          <w:i/>
        </w:rPr>
        <w:t>powierniczy rachunek bankowy zarządzany przez Instytut i wyodrębniony wyłącznie dla operacji finansowych związanych ze wsparciem finansowym w Banku Gospodarstwa Krajowego</w:t>
      </w:r>
      <w:r w:rsidRPr="00192DF5">
        <w:rPr>
          <w:rFonts w:ascii="Times New Roman" w:hAnsi="Times New Roman" w:cs="Times New Roman"/>
        </w:rPr>
        <w:t xml:space="preserve">. Jednocześnie należy podkreślić, że Bank Gospodarstwa Krajowego prowadzący rachunek powierniczy dokonuje weryfikacji prawidłowości wypłaty środków – po pozytywnej weryfikacji dyspozycji o wypłatę środków złożonej przez </w:t>
      </w:r>
      <w:r w:rsidR="00197177" w:rsidRPr="00192DF5">
        <w:rPr>
          <w:rFonts w:ascii="Times New Roman" w:hAnsi="Times New Roman" w:cs="Times New Roman"/>
        </w:rPr>
        <w:t xml:space="preserve">bank krajowy lub bank zagraniczny na którego rzecz dokonano przelewu wierzytelności, </w:t>
      </w:r>
      <w:r w:rsidRPr="00192DF5">
        <w:rPr>
          <w:rFonts w:ascii="Times New Roman" w:hAnsi="Times New Roman" w:cs="Times New Roman"/>
        </w:rPr>
        <w:t xml:space="preserve">realizuje dyspozycję niezwłocznie, jednak </w:t>
      </w:r>
      <w:proofErr w:type="spellStart"/>
      <w:r w:rsidRPr="00192DF5">
        <w:rPr>
          <w:rFonts w:ascii="Times New Roman" w:hAnsi="Times New Roman" w:cs="Times New Roman"/>
        </w:rPr>
        <w:t>niewcześniej</w:t>
      </w:r>
      <w:proofErr w:type="spellEnd"/>
      <w:r w:rsidRPr="00192DF5">
        <w:rPr>
          <w:rFonts w:ascii="Times New Roman" w:hAnsi="Times New Roman" w:cs="Times New Roman"/>
        </w:rPr>
        <w:t xml:space="preserve"> niż w dniu otrzymania sporządzonej w formie pisemnej informacji o dokonaniu przez </w:t>
      </w:r>
      <w:r w:rsidR="00C345C0" w:rsidRPr="00192DF5">
        <w:rPr>
          <w:rFonts w:ascii="Times New Roman" w:hAnsi="Times New Roman" w:cs="Times New Roman"/>
        </w:rPr>
        <w:t>PISF</w:t>
      </w:r>
      <w:r w:rsidRPr="00192DF5">
        <w:rPr>
          <w:rFonts w:ascii="Times New Roman" w:hAnsi="Times New Roman" w:cs="Times New Roman"/>
        </w:rPr>
        <w:t xml:space="preserve"> pozytywnej weryfikacji raportu, o któr</w:t>
      </w:r>
      <w:r w:rsidR="00C345C0" w:rsidRPr="00192DF5">
        <w:rPr>
          <w:rFonts w:ascii="Times New Roman" w:hAnsi="Times New Roman" w:cs="Times New Roman"/>
        </w:rPr>
        <w:t>ej</w:t>
      </w:r>
      <w:r w:rsidRPr="00192DF5">
        <w:rPr>
          <w:rFonts w:ascii="Times New Roman" w:hAnsi="Times New Roman" w:cs="Times New Roman"/>
        </w:rPr>
        <w:t xml:space="preserve"> mowa w art. 26 ust.</w:t>
      </w:r>
      <w:r w:rsidR="00C932B4" w:rsidRPr="00192DF5">
        <w:rPr>
          <w:rFonts w:ascii="Times New Roman" w:hAnsi="Times New Roman" w:cs="Times New Roman"/>
        </w:rPr>
        <w:t> </w:t>
      </w:r>
      <w:r w:rsidRPr="00192DF5">
        <w:rPr>
          <w:rFonts w:ascii="Times New Roman" w:hAnsi="Times New Roman" w:cs="Times New Roman"/>
        </w:rPr>
        <w:t>1 ustawy.</w:t>
      </w:r>
      <w:r w:rsidR="00197177" w:rsidRPr="00192DF5">
        <w:rPr>
          <w:rFonts w:ascii="Times New Roman" w:hAnsi="Times New Roman" w:cs="Times New Roman"/>
        </w:rPr>
        <w:t xml:space="preserve"> PISF prze</w:t>
      </w:r>
      <w:r w:rsidR="00C345C0" w:rsidRPr="00192DF5">
        <w:rPr>
          <w:rFonts w:ascii="Times New Roman" w:hAnsi="Times New Roman" w:cs="Times New Roman"/>
        </w:rPr>
        <w:t>syła</w:t>
      </w:r>
      <w:r w:rsidR="00197177" w:rsidRPr="00192DF5">
        <w:rPr>
          <w:rFonts w:ascii="Times New Roman" w:hAnsi="Times New Roman" w:cs="Times New Roman"/>
        </w:rPr>
        <w:t xml:space="preserve"> do Banku Gospodarstwa Krajowego informację o pozytywnej weryfikacji raportu końcowego w terminie 30 dni od dnia jej dokonania.</w:t>
      </w:r>
    </w:p>
    <w:p w14:paraId="1C1CCA97" w14:textId="68B0F64B" w:rsidR="005F0841" w:rsidRPr="00192DF5" w:rsidRDefault="00007936" w:rsidP="00192DF5">
      <w:pPr>
        <w:tabs>
          <w:tab w:val="num" w:pos="720"/>
        </w:tabs>
        <w:spacing w:after="120" w:line="360" w:lineRule="auto"/>
        <w:jc w:val="both"/>
        <w:rPr>
          <w:rFonts w:ascii="Times New Roman" w:hAnsi="Times New Roman" w:cs="Times New Roman"/>
        </w:rPr>
      </w:pPr>
      <w:r w:rsidRPr="00192DF5">
        <w:rPr>
          <w:rFonts w:ascii="Times New Roman" w:hAnsi="Times New Roman" w:cs="Times New Roman"/>
        </w:rPr>
        <w:t>Takie rozwiązanie pozostaje spójne z art. 4 ustawy</w:t>
      </w:r>
      <w:r w:rsidR="00C345C0" w:rsidRPr="00192DF5">
        <w:rPr>
          <w:rFonts w:ascii="Times New Roman" w:hAnsi="Times New Roman" w:cs="Times New Roman"/>
        </w:rPr>
        <w:t xml:space="preserve"> z dnia 14 marca 2003 r.</w:t>
      </w:r>
      <w:r w:rsidRPr="00192DF5">
        <w:rPr>
          <w:rFonts w:ascii="Times New Roman" w:hAnsi="Times New Roman" w:cs="Times New Roman"/>
        </w:rPr>
        <w:t xml:space="preserve"> o Banku Gospodarstwa Krajowego, który przewiduje, że Bank realizuje zadania państwa w zakresie wspierania rozwoju społeczno-gospodarczego oraz polityki rządu. Obsługa rachunku powierniczego w ramach systemu wsparcia produkcji audiowizualnej stanowi element realizacji tych ustawowych celów, a nie działalność komercyjną w rozumieniu</w:t>
      </w:r>
      <w:r w:rsidR="00C345C0" w:rsidRPr="00192DF5">
        <w:rPr>
          <w:rFonts w:ascii="Times New Roman" w:hAnsi="Times New Roman" w:cs="Times New Roman"/>
        </w:rPr>
        <w:t xml:space="preserve"> ustawy z dnia 29 sierpnia 1997 r. – Prawo bankowe</w:t>
      </w:r>
      <w:r w:rsidRPr="00192DF5">
        <w:rPr>
          <w:rFonts w:ascii="Times New Roman" w:hAnsi="Times New Roman" w:cs="Times New Roman"/>
        </w:rPr>
        <w:t>. W konsekwencji należy uznać, że projektowane zmiany nie wymagają odrębnych regulacji w zakresie oceny ryzyka kredytowego czy mechanizmów finansowania przez B</w:t>
      </w:r>
      <w:r w:rsidR="00C345C0" w:rsidRPr="00192DF5">
        <w:rPr>
          <w:rFonts w:ascii="Times New Roman" w:hAnsi="Times New Roman" w:cs="Times New Roman"/>
        </w:rPr>
        <w:t xml:space="preserve">ank </w:t>
      </w:r>
      <w:r w:rsidRPr="00192DF5">
        <w:rPr>
          <w:rFonts w:ascii="Times New Roman" w:hAnsi="Times New Roman" w:cs="Times New Roman"/>
        </w:rPr>
        <w:t>G</w:t>
      </w:r>
      <w:r w:rsidR="00C345C0" w:rsidRPr="00192DF5">
        <w:rPr>
          <w:rFonts w:ascii="Times New Roman" w:hAnsi="Times New Roman" w:cs="Times New Roman"/>
        </w:rPr>
        <w:t>ospodars</w:t>
      </w:r>
      <w:r w:rsidR="00DE7CF0" w:rsidRPr="00192DF5">
        <w:rPr>
          <w:rFonts w:ascii="Times New Roman" w:hAnsi="Times New Roman" w:cs="Times New Roman"/>
        </w:rPr>
        <w:t>t</w:t>
      </w:r>
      <w:r w:rsidR="00C345C0" w:rsidRPr="00192DF5">
        <w:rPr>
          <w:rFonts w:ascii="Times New Roman" w:hAnsi="Times New Roman" w:cs="Times New Roman"/>
        </w:rPr>
        <w:t xml:space="preserve">wa </w:t>
      </w:r>
      <w:r w:rsidRPr="00192DF5">
        <w:rPr>
          <w:rFonts w:ascii="Times New Roman" w:hAnsi="Times New Roman" w:cs="Times New Roman"/>
        </w:rPr>
        <w:t>K</w:t>
      </w:r>
      <w:r w:rsidR="00C345C0" w:rsidRPr="00192DF5">
        <w:rPr>
          <w:rFonts w:ascii="Times New Roman" w:hAnsi="Times New Roman" w:cs="Times New Roman"/>
        </w:rPr>
        <w:t>rajowego</w:t>
      </w:r>
      <w:r w:rsidRPr="00192DF5">
        <w:rPr>
          <w:rFonts w:ascii="Times New Roman" w:hAnsi="Times New Roman" w:cs="Times New Roman"/>
        </w:rPr>
        <w:t>, a jednocześnie respektują i utrzymują obowiązywanie procedur przewidzianych w</w:t>
      </w:r>
      <w:r w:rsidR="00C345C0" w:rsidRPr="00192DF5">
        <w:rPr>
          <w:rFonts w:ascii="Times New Roman" w:hAnsi="Times New Roman" w:cs="Times New Roman"/>
        </w:rPr>
        <w:t xml:space="preserve"> ustawie z dnia 29 sierpnia 1997 r. – Prawo bankowe</w:t>
      </w:r>
      <w:r w:rsidRPr="00192DF5">
        <w:rPr>
          <w:rFonts w:ascii="Times New Roman" w:hAnsi="Times New Roman" w:cs="Times New Roman"/>
        </w:rPr>
        <w:t xml:space="preserve"> i ustawie </w:t>
      </w:r>
      <w:r w:rsidR="00C345C0" w:rsidRPr="00192DF5">
        <w:rPr>
          <w:rFonts w:ascii="Times New Roman" w:hAnsi="Times New Roman" w:cs="Times New Roman"/>
        </w:rPr>
        <w:t>z dnia 14 marca 2003 r. o Banku Gospodarstwa Krajowego</w:t>
      </w:r>
      <w:r w:rsidRPr="00192DF5">
        <w:rPr>
          <w:rFonts w:ascii="Times New Roman" w:hAnsi="Times New Roman" w:cs="Times New Roman"/>
        </w:rPr>
        <w:t>.</w:t>
      </w:r>
    </w:p>
    <w:p w14:paraId="1794CC96" w14:textId="77777777" w:rsidR="005F0841" w:rsidRPr="00192DF5" w:rsidRDefault="00007936" w:rsidP="00192DF5">
      <w:pPr>
        <w:tabs>
          <w:tab w:val="num" w:pos="720"/>
        </w:tabs>
        <w:spacing w:after="120" w:line="360" w:lineRule="auto"/>
        <w:jc w:val="both"/>
        <w:rPr>
          <w:rFonts w:ascii="Times New Roman" w:eastAsia="Times New Roman" w:hAnsi="Times New Roman" w:cs="Times New Roman"/>
          <w:b/>
        </w:rPr>
      </w:pPr>
      <w:r w:rsidRPr="00192DF5">
        <w:rPr>
          <w:rFonts w:ascii="Times New Roman" w:eastAsia="Times New Roman" w:hAnsi="Times New Roman" w:cs="Times New Roman"/>
          <w:b/>
        </w:rPr>
        <w:t>Zmiany w art. 33 ustawy</w:t>
      </w:r>
    </w:p>
    <w:p w14:paraId="42796624" w14:textId="5FA4F8C6" w:rsidR="005F0841" w:rsidRPr="00192DF5" w:rsidRDefault="004A4643" w:rsidP="00192DF5">
      <w:pPr>
        <w:tabs>
          <w:tab w:val="num" w:pos="720"/>
        </w:tabs>
        <w:spacing w:after="120" w:line="360" w:lineRule="auto"/>
        <w:jc w:val="both"/>
        <w:rPr>
          <w:rFonts w:ascii="Times New Roman" w:eastAsia="Times New Roman" w:hAnsi="Times New Roman" w:cs="Times New Roman"/>
        </w:rPr>
      </w:pPr>
      <w:r w:rsidRPr="00192DF5">
        <w:rPr>
          <w:rFonts w:ascii="Times New Roman" w:eastAsia="Times New Roman" w:hAnsi="Times New Roman" w:cs="Times New Roman"/>
        </w:rPr>
        <w:t>W</w:t>
      </w:r>
      <w:r w:rsidR="00007936" w:rsidRPr="00192DF5">
        <w:rPr>
          <w:rFonts w:ascii="Times New Roman" w:eastAsia="Times New Roman" w:hAnsi="Times New Roman" w:cs="Times New Roman"/>
        </w:rPr>
        <w:t xml:space="preserve"> 2027 r. upływa 10-letni okres, na jaki zostały określone limity wydatków będących skutkiem ustawy. Z tego względu</w:t>
      </w:r>
      <w:r w:rsidR="00DE7CF0" w:rsidRPr="00192DF5">
        <w:rPr>
          <w:rFonts w:ascii="Times New Roman" w:eastAsia="Times New Roman" w:hAnsi="Times New Roman" w:cs="Times New Roman"/>
        </w:rPr>
        <w:t xml:space="preserve"> jest</w:t>
      </w:r>
      <w:r w:rsidR="00007936" w:rsidRPr="00192DF5">
        <w:rPr>
          <w:rFonts w:ascii="Times New Roman" w:eastAsia="Times New Roman" w:hAnsi="Times New Roman" w:cs="Times New Roman"/>
        </w:rPr>
        <w:t xml:space="preserve"> konieczna nowelizacja </w:t>
      </w:r>
      <w:r w:rsidR="00C345C0" w:rsidRPr="00192DF5">
        <w:rPr>
          <w:rFonts w:ascii="Times New Roman" w:eastAsia="Times New Roman" w:hAnsi="Times New Roman" w:cs="Times New Roman"/>
        </w:rPr>
        <w:t xml:space="preserve">jej </w:t>
      </w:r>
      <w:r w:rsidR="00007936" w:rsidRPr="00192DF5">
        <w:rPr>
          <w:rFonts w:ascii="Times New Roman" w:eastAsia="Times New Roman" w:hAnsi="Times New Roman" w:cs="Times New Roman"/>
        </w:rPr>
        <w:t xml:space="preserve">art. 33 w celu zapewnienia środków na kontynuację wsparcia finansowego przyznawanego na jej podstawie. Treść nowelizacji stanowi realizację reguły wydatkowej mającej na celu </w:t>
      </w:r>
      <w:r w:rsidR="00007936" w:rsidRPr="00192DF5">
        <w:rPr>
          <w:rFonts w:ascii="Times New Roman" w:eastAsia="Times New Roman" w:hAnsi="Times New Roman" w:cs="Times New Roman"/>
          <w:bCs/>
        </w:rPr>
        <w:t>zapewnienie kontroli nad finansami publicznymi</w:t>
      </w:r>
      <w:r w:rsidR="00007936" w:rsidRPr="00192DF5">
        <w:rPr>
          <w:rFonts w:ascii="Times New Roman" w:eastAsia="Times New Roman" w:hAnsi="Times New Roman" w:cs="Times New Roman"/>
        </w:rPr>
        <w:t xml:space="preserve"> oraz </w:t>
      </w:r>
      <w:r w:rsidR="00007936" w:rsidRPr="00192DF5">
        <w:rPr>
          <w:rFonts w:ascii="Times New Roman" w:eastAsia="Times New Roman" w:hAnsi="Times New Roman" w:cs="Times New Roman"/>
          <w:bCs/>
        </w:rPr>
        <w:t>zachowanie dyscypliny budżetowej</w:t>
      </w:r>
      <w:r w:rsidR="00007936" w:rsidRPr="00192DF5">
        <w:rPr>
          <w:rFonts w:ascii="Times New Roman" w:eastAsia="Times New Roman" w:hAnsi="Times New Roman" w:cs="Times New Roman"/>
        </w:rPr>
        <w:t xml:space="preserve">. Reguła wyznacza </w:t>
      </w:r>
      <w:r w:rsidR="00007936" w:rsidRPr="00192DF5">
        <w:rPr>
          <w:rFonts w:ascii="Times New Roman" w:eastAsia="Times New Roman" w:hAnsi="Times New Roman" w:cs="Times New Roman"/>
          <w:bCs/>
        </w:rPr>
        <w:t>górną granicę (maksimum)</w:t>
      </w:r>
      <w:r w:rsidR="00007936" w:rsidRPr="00192DF5">
        <w:rPr>
          <w:rFonts w:ascii="Times New Roman" w:eastAsia="Times New Roman" w:hAnsi="Times New Roman" w:cs="Times New Roman"/>
        </w:rPr>
        <w:t xml:space="preserve"> </w:t>
      </w:r>
      <w:r w:rsidR="00007936" w:rsidRPr="00192DF5">
        <w:rPr>
          <w:rFonts w:ascii="Times New Roman" w:eastAsia="Times New Roman" w:hAnsi="Times New Roman" w:cs="Times New Roman"/>
        </w:rPr>
        <w:lastRenderedPageBreak/>
        <w:t>wydatków budżetu państwa, które mogą wynikać z realizacji ustawy. Dzięki temu nie dopuszcza się do</w:t>
      </w:r>
      <w:r w:rsidR="00C932B4" w:rsidRPr="00192DF5">
        <w:rPr>
          <w:rFonts w:ascii="Times New Roman" w:eastAsia="Times New Roman" w:hAnsi="Times New Roman" w:cs="Times New Roman"/>
        </w:rPr>
        <w:t> </w:t>
      </w:r>
      <w:r w:rsidR="00007936" w:rsidRPr="00192DF5">
        <w:rPr>
          <w:rFonts w:ascii="Times New Roman" w:eastAsia="Times New Roman" w:hAnsi="Times New Roman" w:cs="Times New Roman"/>
        </w:rPr>
        <w:t xml:space="preserve">niekontrolowanego zwiększenia wydatków państwa oraz zabezpiecza się finanse państwa przed skutkami nieprzewidzianych kosztów. </w:t>
      </w:r>
    </w:p>
    <w:p w14:paraId="46505024" w14:textId="13F397C1" w:rsidR="005F0841" w:rsidRPr="00192DF5" w:rsidRDefault="00007936" w:rsidP="00192DF5">
      <w:pPr>
        <w:spacing w:after="120" w:line="360" w:lineRule="auto"/>
        <w:jc w:val="both"/>
        <w:rPr>
          <w:rFonts w:ascii="Times New Roman" w:eastAsia="Times New Roman" w:hAnsi="Times New Roman" w:cs="Times New Roman"/>
        </w:rPr>
      </w:pPr>
      <w:r w:rsidRPr="00192DF5">
        <w:rPr>
          <w:rFonts w:ascii="Times New Roman" w:eastAsia="Times New Roman" w:hAnsi="Times New Roman" w:cs="Times New Roman"/>
        </w:rPr>
        <w:t xml:space="preserve">Polska, jak wiele innych państw, stosuje </w:t>
      </w:r>
      <w:r w:rsidRPr="00192DF5">
        <w:rPr>
          <w:rFonts w:ascii="Times New Roman" w:eastAsia="Times New Roman" w:hAnsi="Times New Roman" w:cs="Times New Roman"/>
          <w:bCs/>
        </w:rPr>
        <w:t>ogólną regułę wydatkową</w:t>
      </w:r>
      <w:r w:rsidRPr="00192DF5">
        <w:rPr>
          <w:rFonts w:ascii="Times New Roman" w:eastAsia="Times New Roman" w:hAnsi="Times New Roman" w:cs="Times New Roman"/>
        </w:rPr>
        <w:t xml:space="preserve"> (zawartą w ustawie z dnia 27 sierpnia 2009 r. o finansach publicznych (Dz. U. z 202</w:t>
      </w:r>
      <w:r w:rsidR="00C345C0" w:rsidRPr="00192DF5">
        <w:rPr>
          <w:rFonts w:ascii="Times New Roman" w:eastAsia="Times New Roman" w:hAnsi="Times New Roman" w:cs="Times New Roman"/>
        </w:rPr>
        <w:t>5</w:t>
      </w:r>
      <w:r w:rsidRPr="00192DF5">
        <w:rPr>
          <w:rFonts w:ascii="Times New Roman" w:eastAsia="Times New Roman" w:hAnsi="Times New Roman" w:cs="Times New Roman"/>
        </w:rPr>
        <w:t xml:space="preserve"> r. poz. 1</w:t>
      </w:r>
      <w:r w:rsidR="00C345C0" w:rsidRPr="00192DF5">
        <w:rPr>
          <w:rFonts w:ascii="Times New Roman" w:eastAsia="Times New Roman" w:hAnsi="Times New Roman" w:cs="Times New Roman"/>
        </w:rPr>
        <w:t>483</w:t>
      </w:r>
      <w:r w:rsidR="004E6084" w:rsidRPr="00192DF5">
        <w:rPr>
          <w:rFonts w:ascii="Times New Roman" w:eastAsia="Times New Roman" w:hAnsi="Times New Roman" w:cs="Times New Roman"/>
        </w:rPr>
        <w:t xml:space="preserve">, z </w:t>
      </w:r>
      <w:proofErr w:type="spellStart"/>
      <w:r w:rsidR="004E6084" w:rsidRPr="00192DF5">
        <w:rPr>
          <w:rFonts w:ascii="Times New Roman" w:eastAsia="Times New Roman" w:hAnsi="Times New Roman" w:cs="Times New Roman"/>
        </w:rPr>
        <w:t>późn</w:t>
      </w:r>
      <w:proofErr w:type="spellEnd"/>
      <w:r w:rsidR="004E6084" w:rsidRPr="00192DF5">
        <w:rPr>
          <w:rFonts w:ascii="Times New Roman" w:eastAsia="Times New Roman" w:hAnsi="Times New Roman" w:cs="Times New Roman"/>
        </w:rPr>
        <w:t>. zm.</w:t>
      </w:r>
      <w:r w:rsidRPr="00192DF5">
        <w:rPr>
          <w:rFonts w:ascii="Times New Roman" w:eastAsia="Times New Roman" w:hAnsi="Times New Roman" w:cs="Times New Roman"/>
        </w:rPr>
        <w:t>), która ma na celu utrzymanie równowagi fiskalnej. Reguły zawarte w poszczególnych ustawach, w tym przewidywane omawianym projektem</w:t>
      </w:r>
      <w:r w:rsidR="00DE7CF0" w:rsidRPr="00192DF5">
        <w:rPr>
          <w:rFonts w:ascii="Times New Roman" w:eastAsia="Times New Roman" w:hAnsi="Times New Roman" w:cs="Times New Roman"/>
        </w:rPr>
        <w:t xml:space="preserve"> ustawy</w:t>
      </w:r>
      <w:r w:rsidRPr="00192DF5">
        <w:rPr>
          <w:rFonts w:ascii="Times New Roman" w:eastAsia="Times New Roman" w:hAnsi="Times New Roman" w:cs="Times New Roman"/>
        </w:rPr>
        <w:t xml:space="preserve">, muszą być z nią zgodne. Określenie takich limitów zwiększa </w:t>
      </w:r>
      <w:r w:rsidRPr="00192DF5">
        <w:rPr>
          <w:rFonts w:ascii="Times New Roman" w:eastAsia="Times New Roman" w:hAnsi="Times New Roman" w:cs="Times New Roman"/>
          <w:bCs/>
        </w:rPr>
        <w:t>transparentność działania państwa</w:t>
      </w:r>
      <w:r w:rsidRPr="00192DF5">
        <w:rPr>
          <w:rFonts w:ascii="Times New Roman" w:eastAsia="Times New Roman" w:hAnsi="Times New Roman" w:cs="Times New Roman"/>
        </w:rPr>
        <w:t xml:space="preserve"> – wiadomo, ile środków i w jakim czasie zostanie przeznaczonych na realizację działań przewidzianych przez daną ustawę. </w:t>
      </w:r>
    </w:p>
    <w:p w14:paraId="121F3F7C" w14:textId="3565BDBA" w:rsidR="005F0841" w:rsidRPr="00192DF5" w:rsidRDefault="00007936" w:rsidP="00192DF5">
      <w:pPr>
        <w:spacing w:after="120" w:line="360" w:lineRule="auto"/>
        <w:jc w:val="both"/>
        <w:rPr>
          <w:rFonts w:ascii="Times New Roman" w:eastAsia="Times New Roman" w:hAnsi="Times New Roman" w:cs="Times New Roman"/>
        </w:rPr>
      </w:pPr>
      <w:r w:rsidRPr="00192DF5">
        <w:rPr>
          <w:rFonts w:ascii="Times New Roman" w:eastAsia="Times New Roman" w:hAnsi="Times New Roman" w:cs="Times New Roman"/>
        </w:rPr>
        <w:t xml:space="preserve">Przyjęte progi </w:t>
      </w:r>
      <w:bookmarkStart w:id="0" w:name="_Hlk214605476"/>
      <w:r w:rsidRPr="00192DF5">
        <w:rPr>
          <w:rFonts w:ascii="Times New Roman" w:eastAsia="Times New Roman" w:hAnsi="Times New Roman" w:cs="Times New Roman"/>
        </w:rPr>
        <w:t xml:space="preserve">– </w:t>
      </w:r>
      <w:bookmarkEnd w:id="0"/>
      <w:r w:rsidRPr="00192DF5">
        <w:rPr>
          <w:rFonts w:ascii="Times New Roman" w:eastAsia="Times New Roman" w:hAnsi="Times New Roman" w:cs="Times New Roman"/>
        </w:rPr>
        <w:t>100 mln zł jako minimum oraz 230 mln zł jako maksimum – wynikają z dotychczasowych doświadczeń w realizacji programu, a także z analizy możliwości budżetowych państwa. Określenie dolnego limitu gwarantuje stabilność mechanizmu wsparcia i pewność dla branży, zaś limit górny pozwala zachować równowagę między potrzebami sektora audiowizualnego a innymi priorytetami polityki budżetowej. Rozwiązanie to zapewnia przewidywalność oraz transparentność systemu finansowania w</w:t>
      </w:r>
      <w:r w:rsidR="00C932B4" w:rsidRPr="00192DF5">
        <w:rPr>
          <w:rFonts w:ascii="Times New Roman" w:eastAsia="Times New Roman" w:hAnsi="Times New Roman" w:cs="Times New Roman"/>
        </w:rPr>
        <w:t> </w:t>
      </w:r>
      <w:r w:rsidRPr="00192DF5">
        <w:rPr>
          <w:rFonts w:ascii="Times New Roman" w:eastAsia="Times New Roman" w:hAnsi="Times New Roman" w:cs="Times New Roman"/>
        </w:rPr>
        <w:t>długim okresie.</w:t>
      </w:r>
    </w:p>
    <w:p w14:paraId="53D339AF" w14:textId="0CC3161E" w:rsidR="005F0841" w:rsidRPr="00192DF5" w:rsidRDefault="00007936" w:rsidP="00192DF5">
      <w:pPr>
        <w:spacing w:after="120" w:line="360" w:lineRule="auto"/>
        <w:rPr>
          <w:rFonts w:ascii="Times New Roman" w:hAnsi="Times New Roman" w:cs="Times New Roman"/>
          <w:b/>
          <w:u w:val="single"/>
        </w:rPr>
      </w:pPr>
      <w:r w:rsidRPr="00192DF5">
        <w:rPr>
          <w:rFonts w:ascii="Times New Roman" w:hAnsi="Times New Roman" w:cs="Times New Roman"/>
          <w:b/>
          <w:u w:val="single"/>
        </w:rPr>
        <w:t xml:space="preserve">Art. 2 </w:t>
      </w:r>
      <w:r w:rsidR="00AF5CB6" w:rsidRPr="00192DF5">
        <w:rPr>
          <w:rFonts w:ascii="Times New Roman" w:hAnsi="Times New Roman" w:cs="Times New Roman"/>
          <w:b/>
          <w:u w:val="single"/>
        </w:rPr>
        <w:t xml:space="preserve">– </w:t>
      </w:r>
      <w:r w:rsidRPr="00192DF5">
        <w:rPr>
          <w:rFonts w:ascii="Times New Roman" w:hAnsi="Times New Roman" w:cs="Times New Roman"/>
          <w:b/>
          <w:u w:val="single"/>
        </w:rPr>
        <w:t>z</w:t>
      </w:r>
      <w:r w:rsidRPr="00192DF5">
        <w:rPr>
          <w:rStyle w:val="Pogrubienie"/>
          <w:rFonts w:ascii="Times New Roman" w:hAnsi="Times New Roman" w:cs="Times New Roman"/>
          <w:bCs w:val="0"/>
          <w:u w:val="single"/>
        </w:rPr>
        <w:t xml:space="preserve">miany w ustawie z dnia 7 listopada 1996 r. o obowiązkowych egzemplarzach bibliotecznych </w:t>
      </w:r>
      <w:r w:rsidR="00C345C0" w:rsidRPr="00192DF5">
        <w:rPr>
          <w:rStyle w:val="Pogrubienie"/>
          <w:rFonts w:ascii="Times New Roman" w:hAnsi="Times New Roman" w:cs="Times New Roman"/>
          <w:bCs w:val="0"/>
          <w:u w:val="single"/>
        </w:rPr>
        <w:t>(Dz.</w:t>
      </w:r>
      <w:r w:rsidR="00C932B4" w:rsidRPr="00192DF5">
        <w:rPr>
          <w:rStyle w:val="Pogrubienie"/>
          <w:rFonts w:ascii="Times New Roman" w:hAnsi="Times New Roman" w:cs="Times New Roman"/>
          <w:bCs w:val="0"/>
          <w:u w:val="single"/>
        </w:rPr>
        <w:t> </w:t>
      </w:r>
      <w:r w:rsidR="00C345C0" w:rsidRPr="00192DF5">
        <w:rPr>
          <w:rStyle w:val="Pogrubienie"/>
          <w:rFonts w:ascii="Times New Roman" w:hAnsi="Times New Roman" w:cs="Times New Roman"/>
          <w:bCs w:val="0"/>
          <w:u w:val="single"/>
        </w:rPr>
        <w:t>U. z 2018 r. poz. 545)</w:t>
      </w:r>
    </w:p>
    <w:p w14:paraId="6958CCE8" w14:textId="33344175" w:rsidR="005F0841" w:rsidRPr="00192DF5" w:rsidRDefault="00007936" w:rsidP="00192DF5">
      <w:pPr>
        <w:spacing w:after="120" w:line="360" w:lineRule="auto"/>
        <w:jc w:val="both"/>
        <w:rPr>
          <w:rStyle w:val="Pogrubienie"/>
          <w:rFonts w:ascii="Times New Roman" w:hAnsi="Times New Roman" w:cs="Times New Roman"/>
          <w:b w:val="0"/>
          <w:bCs w:val="0"/>
        </w:rPr>
      </w:pPr>
      <w:r w:rsidRPr="00192DF5">
        <w:rPr>
          <w:rStyle w:val="Pogrubienie"/>
          <w:rFonts w:ascii="Times New Roman" w:hAnsi="Times New Roman" w:cs="Times New Roman"/>
          <w:b w:val="0"/>
          <w:bCs w:val="0"/>
        </w:rPr>
        <w:t xml:space="preserve">Zmiana art. 6 (dodawany ust. 2 i 3) wprowadza zmiany analogiczne do zmian w ustawie </w:t>
      </w:r>
      <w:r w:rsidR="00C345C0" w:rsidRPr="00192DF5">
        <w:rPr>
          <w:rStyle w:val="Pogrubienie"/>
          <w:rFonts w:ascii="Times New Roman" w:hAnsi="Times New Roman" w:cs="Times New Roman"/>
          <w:b w:val="0"/>
          <w:bCs w:val="0"/>
        </w:rPr>
        <w:t xml:space="preserve">z dnia 30 czerwca 2005 r. </w:t>
      </w:r>
      <w:r w:rsidRPr="00192DF5">
        <w:rPr>
          <w:rStyle w:val="Pogrubienie"/>
          <w:rFonts w:ascii="Times New Roman" w:hAnsi="Times New Roman" w:cs="Times New Roman"/>
          <w:b w:val="0"/>
          <w:bCs w:val="0"/>
        </w:rPr>
        <w:t xml:space="preserve">o kinematografii </w:t>
      </w:r>
      <w:r w:rsidR="00C345C0" w:rsidRPr="00192DF5">
        <w:rPr>
          <w:rStyle w:val="Pogrubienie"/>
          <w:rFonts w:ascii="Times New Roman" w:hAnsi="Times New Roman" w:cs="Times New Roman"/>
          <w:b w:val="0"/>
          <w:bCs w:val="0"/>
        </w:rPr>
        <w:t xml:space="preserve">(Dz. U. z 2023 r. poz. 130) </w:t>
      </w:r>
      <w:r w:rsidRPr="00192DF5">
        <w:rPr>
          <w:rStyle w:val="Pogrubienie"/>
          <w:rFonts w:ascii="Times New Roman" w:hAnsi="Times New Roman" w:cs="Times New Roman"/>
          <w:b w:val="0"/>
          <w:bCs w:val="0"/>
        </w:rPr>
        <w:t>– umożliwiające bardziej elastyczne podejście do</w:t>
      </w:r>
      <w:r w:rsidR="00C932B4" w:rsidRPr="00192DF5">
        <w:rPr>
          <w:rStyle w:val="Pogrubienie"/>
          <w:rFonts w:ascii="Times New Roman" w:hAnsi="Times New Roman" w:cs="Times New Roman"/>
          <w:b w:val="0"/>
          <w:bCs w:val="0"/>
        </w:rPr>
        <w:t> </w:t>
      </w:r>
      <w:r w:rsidRPr="00192DF5">
        <w:rPr>
          <w:rStyle w:val="Pogrubienie"/>
          <w:rFonts w:ascii="Times New Roman" w:hAnsi="Times New Roman" w:cs="Times New Roman"/>
          <w:b w:val="0"/>
          <w:bCs w:val="0"/>
        </w:rPr>
        <w:t>terminu i formatu przekazania kopii filmu.</w:t>
      </w:r>
    </w:p>
    <w:p w14:paraId="0EB9D46C" w14:textId="77777777" w:rsidR="005F0841" w:rsidRPr="00192DF5" w:rsidRDefault="00007936" w:rsidP="00192DF5">
      <w:pPr>
        <w:spacing w:after="120" w:line="360" w:lineRule="auto"/>
        <w:jc w:val="both"/>
        <w:rPr>
          <w:rStyle w:val="Pogrubienie"/>
          <w:rFonts w:ascii="Times New Roman" w:hAnsi="Times New Roman" w:cs="Times New Roman"/>
          <w:b w:val="0"/>
          <w:bCs w:val="0"/>
        </w:rPr>
      </w:pPr>
      <w:r w:rsidRPr="00192DF5">
        <w:rPr>
          <w:rStyle w:val="Pogrubienie"/>
          <w:rFonts w:ascii="Times New Roman" w:hAnsi="Times New Roman" w:cs="Times New Roman"/>
          <w:b w:val="0"/>
          <w:bCs w:val="0"/>
        </w:rPr>
        <w:t>Zmiany te mają na celu ochronę twórców filmowych przed nadmiernym obciążeniem finansowym związanym z realizowaniem obowiązków archiwizacyjnych. Dzięki elastycznym rozwiązaniom, producenci będą mogli skupić się na artystycznej stronie swojej pracy, nie martwiąc się o formalności związane z przekazywaniem kopii filmów.</w:t>
      </w:r>
    </w:p>
    <w:p w14:paraId="0A16FB8B" w14:textId="76C0070F" w:rsidR="005F0841" w:rsidRPr="00192DF5" w:rsidRDefault="00007936" w:rsidP="00192DF5">
      <w:pPr>
        <w:spacing w:after="120" w:line="360" w:lineRule="auto"/>
        <w:jc w:val="both"/>
        <w:rPr>
          <w:rStyle w:val="Pogrubienie"/>
          <w:rFonts w:ascii="Times New Roman" w:hAnsi="Times New Roman" w:cs="Times New Roman"/>
          <w:b w:val="0"/>
          <w:bCs w:val="0"/>
        </w:rPr>
      </w:pPr>
      <w:r w:rsidRPr="00192DF5">
        <w:rPr>
          <w:rStyle w:val="Pogrubienie"/>
          <w:rFonts w:ascii="Times New Roman" w:hAnsi="Times New Roman" w:cs="Times New Roman"/>
          <w:b w:val="0"/>
          <w:bCs w:val="0"/>
        </w:rPr>
        <w:t>Wprowadzona zmiana stanowi krok w stronę uproszczenia przepisów i wzmocnienia ochrony dziedzictwa audiowizualnego, co z kolei przyczyni się do większej dostępności dzieł filmowych, ich lepszej ochrony i</w:t>
      </w:r>
      <w:r w:rsidR="00C932B4" w:rsidRPr="00192DF5">
        <w:rPr>
          <w:rStyle w:val="Pogrubienie"/>
          <w:rFonts w:ascii="Times New Roman" w:hAnsi="Times New Roman" w:cs="Times New Roman"/>
          <w:b w:val="0"/>
          <w:bCs w:val="0"/>
        </w:rPr>
        <w:t> </w:t>
      </w:r>
      <w:r w:rsidRPr="00192DF5">
        <w:rPr>
          <w:rStyle w:val="Pogrubienie"/>
          <w:rFonts w:ascii="Times New Roman" w:hAnsi="Times New Roman" w:cs="Times New Roman"/>
          <w:b w:val="0"/>
          <w:bCs w:val="0"/>
        </w:rPr>
        <w:t>łatwiejszego archiwizowania.</w:t>
      </w:r>
    </w:p>
    <w:p w14:paraId="2EBCC1D6" w14:textId="6B149BC7" w:rsidR="005F0841" w:rsidRPr="00192DF5" w:rsidRDefault="00007936" w:rsidP="00192DF5">
      <w:pPr>
        <w:spacing w:after="120" w:line="360" w:lineRule="auto"/>
        <w:rPr>
          <w:rFonts w:ascii="Times New Roman" w:hAnsi="Times New Roman" w:cs="Times New Roman"/>
          <w:b/>
          <w:u w:val="single"/>
        </w:rPr>
      </w:pPr>
      <w:r w:rsidRPr="00192DF5">
        <w:rPr>
          <w:rFonts w:ascii="Times New Roman" w:hAnsi="Times New Roman" w:cs="Times New Roman"/>
          <w:b/>
          <w:u w:val="single"/>
        </w:rPr>
        <w:t xml:space="preserve">Art. 3 </w:t>
      </w:r>
      <w:r w:rsidR="00AF5CB6" w:rsidRPr="00192DF5">
        <w:rPr>
          <w:rFonts w:ascii="Times New Roman" w:hAnsi="Times New Roman" w:cs="Times New Roman"/>
          <w:b/>
          <w:u w:val="single"/>
        </w:rPr>
        <w:t xml:space="preserve">– </w:t>
      </w:r>
      <w:r w:rsidRPr="00192DF5">
        <w:rPr>
          <w:rStyle w:val="Pogrubienie"/>
          <w:rFonts w:ascii="Times New Roman" w:hAnsi="Times New Roman" w:cs="Times New Roman"/>
          <w:bCs w:val="0"/>
          <w:u w:val="single"/>
        </w:rPr>
        <w:t>zmiany w ustawie z dnia 30 czerwca 2005 r. o kinematografii</w:t>
      </w:r>
    </w:p>
    <w:p w14:paraId="1A650D61" w14:textId="77777777" w:rsidR="005F0841" w:rsidRPr="00192DF5" w:rsidRDefault="00007936" w:rsidP="00192DF5">
      <w:pPr>
        <w:spacing w:after="120" w:line="360" w:lineRule="auto"/>
        <w:rPr>
          <w:rFonts w:ascii="Times New Roman" w:hAnsi="Times New Roman" w:cs="Times New Roman"/>
          <w:b/>
        </w:rPr>
      </w:pPr>
      <w:r w:rsidRPr="00192DF5">
        <w:rPr>
          <w:rStyle w:val="Pogrubienie"/>
          <w:rFonts w:ascii="Times New Roman" w:hAnsi="Times New Roman" w:cs="Times New Roman"/>
          <w:bCs w:val="0"/>
        </w:rPr>
        <w:t>Zmiana art. 19a ust. 3 – uproszczenie</w:t>
      </w:r>
      <w:r w:rsidRPr="00192DF5">
        <w:rPr>
          <w:rFonts w:ascii="Times New Roman" w:hAnsi="Times New Roman" w:cs="Times New Roman"/>
        </w:rPr>
        <w:t xml:space="preserve"> </w:t>
      </w:r>
      <w:r w:rsidRPr="00192DF5">
        <w:rPr>
          <w:rFonts w:ascii="Times New Roman" w:hAnsi="Times New Roman" w:cs="Times New Roman"/>
          <w:b/>
        </w:rPr>
        <w:t>harmonogramu przekazywania danych o frekwencji kinowej</w:t>
      </w:r>
    </w:p>
    <w:p w14:paraId="31BF0586" w14:textId="3AF7BDA7" w:rsidR="005F0841" w:rsidRPr="00192DF5" w:rsidRDefault="00007936" w:rsidP="00192DF5">
      <w:pPr>
        <w:spacing w:after="120" w:line="360" w:lineRule="auto"/>
        <w:jc w:val="both"/>
        <w:rPr>
          <w:rStyle w:val="Pogrubienie"/>
          <w:rFonts w:ascii="Times New Roman" w:hAnsi="Times New Roman" w:cs="Times New Roman"/>
          <w:b w:val="0"/>
          <w:bCs w:val="0"/>
        </w:rPr>
      </w:pPr>
      <w:r w:rsidRPr="00192DF5">
        <w:rPr>
          <w:rStyle w:val="Pogrubienie"/>
          <w:rFonts w:ascii="Times New Roman" w:hAnsi="Times New Roman" w:cs="Times New Roman"/>
          <w:b w:val="0"/>
          <w:bCs w:val="0"/>
        </w:rPr>
        <w:lastRenderedPageBreak/>
        <w:t>Analizowany przepis wprowadza szczegółowe rozwiązania dotyczące terminów oraz sposobu przekazywania danych, o których mowa w art. 19a ust. 1 ustawy z dnia 30 czerwca 2005 r. o</w:t>
      </w:r>
      <w:r w:rsidR="00C932B4" w:rsidRPr="00192DF5">
        <w:rPr>
          <w:rStyle w:val="Pogrubienie"/>
          <w:rFonts w:ascii="Times New Roman" w:hAnsi="Times New Roman" w:cs="Times New Roman"/>
          <w:b w:val="0"/>
          <w:bCs w:val="0"/>
        </w:rPr>
        <w:t> </w:t>
      </w:r>
      <w:r w:rsidRPr="00192DF5">
        <w:rPr>
          <w:rStyle w:val="Pogrubienie"/>
          <w:rFonts w:ascii="Times New Roman" w:hAnsi="Times New Roman" w:cs="Times New Roman"/>
          <w:b w:val="0"/>
          <w:bCs w:val="0"/>
        </w:rPr>
        <w:t>kinematografii. Zgodnie z nowym brzmieniem ust. 3 dane określone w pkt 1 tego ustępu mają być przekazywane raz w tygodniu – w pierwszym dniu roboczym następującym po każdej niedzieli. Natomiast dane wskazane w pkt 2 muszą być przekazywane do 25. dnia miesiąca następującego po miesiącu, którego dotyczą. Obowiązek ten ma być realizowany tak jak dotychczas, za pośrednictwem systemu teleinformatycznego, przy użyciu dokumentów elektronicznych zgodnych z definicją zawartą w ustawie z</w:t>
      </w:r>
      <w:r w:rsidR="00C932B4" w:rsidRPr="00192DF5">
        <w:rPr>
          <w:rStyle w:val="Pogrubienie"/>
          <w:rFonts w:ascii="Times New Roman" w:hAnsi="Times New Roman" w:cs="Times New Roman"/>
          <w:b w:val="0"/>
          <w:bCs w:val="0"/>
        </w:rPr>
        <w:t> </w:t>
      </w:r>
      <w:r w:rsidR="004A4643" w:rsidRPr="00192DF5">
        <w:rPr>
          <w:rStyle w:val="Pogrubienie"/>
          <w:rFonts w:ascii="Times New Roman" w:hAnsi="Times New Roman" w:cs="Times New Roman"/>
          <w:b w:val="0"/>
          <w:bCs w:val="0"/>
        </w:rPr>
        <w:t>dnia 17 lutego 2005 r.</w:t>
      </w:r>
      <w:r w:rsidRPr="00192DF5">
        <w:rPr>
          <w:rStyle w:val="Pogrubienie"/>
          <w:rFonts w:ascii="Times New Roman" w:hAnsi="Times New Roman" w:cs="Times New Roman"/>
          <w:b w:val="0"/>
          <w:bCs w:val="0"/>
        </w:rPr>
        <w:t xml:space="preserve"> o informatyzacji działalności podmiotów realizujących zadania publiczne (Dz.</w:t>
      </w:r>
      <w:r w:rsidR="00C932B4" w:rsidRPr="00192DF5">
        <w:rPr>
          <w:rStyle w:val="Pogrubienie"/>
          <w:rFonts w:ascii="Times New Roman" w:hAnsi="Times New Roman" w:cs="Times New Roman"/>
          <w:b w:val="0"/>
          <w:bCs w:val="0"/>
        </w:rPr>
        <w:t> </w:t>
      </w:r>
      <w:r w:rsidRPr="00192DF5">
        <w:rPr>
          <w:rStyle w:val="Pogrubienie"/>
          <w:rFonts w:ascii="Times New Roman" w:hAnsi="Times New Roman" w:cs="Times New Roman"/>
          <w:b w:val="0"/>
          <w:bCs w:val="0"/>
        </w:rPr>
        <w:t>U.</w:t>
      </w:r>
      <w:r w:rsidR="00C932B4" w:rsidRPr="00192DF5">
        <w:rPr>
          <w:rStyle w:val="Pogrubienie"/>
          <w:rFonts w:ascii="Times New Roman" w:hAnsi="Times New Roman" w:cs="Times New Roman"/>
          <w:b w:val="0"/>
          <w:bCs w:val="0"/>
        </w:rPr>
        <w:t> </w:t>
      </w:r>
      <w:r w:rsidRPr="00192DF5">
        <w:rPr>
          <w:rStyle w:val="Pogrubienie"/>
          <w:rFonts w:ascii="Times New Roman" w:hAnsi="Times New Roman" w:cs="Times New Roman"/>
          <w:b w:val="0"/>
          <w:bCs w:val="0"/>
        </w:rPr>
        <w:t>z</w:t>
      </w:r>
      <w:r w:rsidR="00C932B4" w:rsidRPr="00192DF5">
        <w:rPr>
          <w:rStyle w:val="Pogrubienie"/>
          <w:rFonts w:ascii="Times New Roman" w:hAnsi="Times New Roman" w:cs="Times New Roman"/>
          <w:b w:val="0"/>
          <w:bCs w:val="0"/>
        </w:rPr>
        <w:t> </w:t>
      </w:r>
      <w:r w:rsidRPr="00192DF5">
        <w:rPr>
          <w:rStyle w:val="Pogrubienie"/>
          <w:rFonts w:ascii="Times New Roman" w:hAnsi="Times New Roman" w:cs="Times New Roman"/>
          <w:b w:val="0"/>
          <w:bCs w:val="0"/>
        </w:rPr>
        <w:t>202</w:t>
      </w:r>
      <w:r w:rsidR="00C430A2" w:rsidRPr="00192DF5">
        <w:rPr>
          <w:rStyle w:val="Pogrubienie"/>
          <w:rFonts w:ascii="Times New Roman" w:hAnsi="Times New Roman" w:cs="Times New Roman"/>
          <w:b w:val="0"/>
          <w:bCs w:val="0"/>
        </w:rPr>
        <w:t>5</w:t>
      </w:r>
      <w:r w:rsidRPr="00192DF5">
        <w:rPr>
          <w:rStyle w:val="Pogrubienie"/>
          <w:rFonts w:ascii="Times New Roman" w:hAnsi="Times New Roman" w:cs="Times New Roman"/>
          <w:b w:val="0"/>
          <w:bCs w:val="0"/>
        </w:rPr>
        <w:t xml:space="preserve"> r. poz. </w:t>
      </w:r>
      <w:r w:rsidR="00C430A2" w:rsidRPr="00192DF5">
        <w:rPr>
          <w:rStyle w:val="Pogrubienie"/>
          <w:rFonts w:ascii="Times New Roman" w:hAnsi="Times New Roman" w:cs="Times New Roman"/>
          <w:b w:val="0"/>
          <w:bCs w:val="0"/>
        </w:rPr>
        <w:t>1703</w:t>
      </w:r>
      <w:r w:rsidRPr="00192DF5">
        <w:rPr>
          <w:rStyle w:val="Pogrubienie"/>
          <w:rFonts w:ascii="Times New Roman" w:hAnsi="Times New Roman" w:cs="Times New Roman"/>
          <w:b w:val="0"/>
          <w:bCs w:val="0"/>
        </w:rPr>
        <w:t xml:space="preserve">, z </w:t>
      </w:r>
      <w:proofErr w:type="spellStart"/>
      <w:r w:rsidRPr="00192DF5">
        <w:rPr>
          <w:rStyle w:val="Pogrubienie"/>
          <w:rFonts w:ascii="Times New Roman" w:hAnsi="Times New Roman" w:cs="Times New Roman"/>
          <w:b w:val="0"/>
          <w:bCs w:val="0"/>
        </w:rPr>
        <w:t>późn</w:t>
      </w:r>
      <w:proofErr w:type="spellEnd"/>
      <w:r w:rsidRPr="00192DF5">
        <w:rPr>
          <w:rStyle w:val="Pogrubienie"/>
          <w:rFonts w:ascii="Times New Roman" w:hAnsi="Times New Roman" w:cs="Times New Roman"/>
          <w:b w:val="0"/>
          <w:bCs w:val="0"/>
        </w:rPr>
        <w:t>. zm.) lub za pomocą formularza elektronicznego udostępnionego na</w:t>
      </w:r>
      <w:r w:rsidR="00C932B4" w:rsidRPr="00192DF5">
        <w:rPr>
          <w:rStyle w:val="Pogrubienie"/>
          <w:rFonts w:ascii="Times New Roman" w:hAnsi="Times New Roman" w:cs="Times New Roman"/>
          <w:b w:val="0"/>
          <w:bCs w:val="0"/>
        </w:rPr>
        <w:t> </w:t>
      </w:r>
      <w:r w:rsidRPr="00192DF5">
        <w:rPr>
          <w:rStyle w:val="Pogrubienie"/>
          <w:rFonts w:ascii="Times New Roman" w:hAnsi="Times New Roman" w:cs="Times New Roman"/>
          <w:b w:val="0"/>
          <w:bCs w:val="0"/>
        </w:rPr>
        <w:t>stronie Biuletynu Informacji Publicznej PISF.</w:t>
      </w:r>
    </w:p>
    <w:p w14:paraId="0843C3DE" w14:textId="5F6C83AA" w:rsidR="005F0841" w:rsidRPr="00192DF5" w:rsidRDefault="00007936" w:rsidP="00192DF5">
      <w:pPr>
        <w:spacing w:after="120" w:line="360" w:lineRule="auto"/>
        <w:jc w:val="both"/>
        <w:rPr>
          <w:rStyle w:val="Pogrubienie"/>
          <w:rFonts w:ascii="Times New Roman" w:hAnsi="Times New Roman" w:cs="Times New Roman"/>
          <w:b w:val="0"/>
        </w:rPr>
      </w:pPr>
      <w:r w:rsidRPr="00192DF5">
        <w:rPr>
          <w:rStyle w:val="Pogrubienie"/>
          <w:rFonts w:ascii="Times New Roman" w:hAnsi="Times New Roman" w:cs="Times New Roman"/>
          <w:b w:val="0"/>
        </w:rPr>
        <w:t>Zmiana przepisów w zakresie terminów przekazywania danych ma na celu uproszczenie obowiązków sprawozdawczych przez ograniczenie częstotliwości przekazywania danych z dwóch do jednego przekazania tygodniowo (w przypadku danych, o których mowa w pkt 1). Taka modyfikacja upraszcza procedury oraz zmniejsza obciążenie podmiotów zobowiązanych do raportowania. W odniesieniu do</w:t>
      </w:r>
      <w:r w:rsidR="00C932B4" w:rsidRPr="00192DF5">
        <w:rPr>
          <w:rStyle w:val="Pogrubienie"/>
          <w:rFonts w:ascii="Times New Roman" w:hAnsi="Times New Roman" w:cs="Times New Roman"/>
          <w:b w:val="0"/>
        </w:rPr>
        <w:t> </w:t>
      </w:r>
      <w:r w:rsidRPr="00192DF5">
        <w:rPr>
          <w:rStyle w:val="Pogrubienie"/>
          <w:rFonts w:ascii="Times New Roman" w:hAnsi="Times New Roman" w:cs="Times New Roman"/>
          <w:b w:val="0"/>
        </w:rPr>
        <w:t>danych, o których mowa w pkt 2, wprowadzenie terminu do 25. dnia miesiąca następującego po</w:t>
      </w:r>
      <w:r w:rsidR="00C932B4" w:rsidRPr="00192DF5">
        <w:rPr>
          <w:rStyle w:val="Pogrubienie"/>
          <w:rFonts w:ascii="Times New Roman" w:hAnsi="Times New Roman" w:cs="Times New Roman"/>
          <w:b w:val="0"/>
        </w:rPr>
        <w:t> </w:t>
      </w:r>
      <w:r w:rsidRPr="00192DF5">
        <w:rPr>
          <w:rStyle w:val="Pogrubienie"/>
          <w:rFonts w:ascii="Times New Roman" w:hAnsi="Times New Roman" w:cs="Times New Roman"/>
          <w:b w:val="0"/>
        </w:rPr>
        <w:t>miesiącu, którego dane dotyczą, zapewnia większą elastyczność czasową, umożliwiając dokładniejsze zebranie, weryfikację i przekazanie informacji, co może przełożyć się na ich wyższą jakość oraz</w:t>
      </w:r>
      <w:r w:rsidR="00C932B4" w:rsidRPr="00192DF5">
        <w:rPr>
          <w:rStyle w:val="Pogrubienie"/>
          <w:rFonts w:ascii="Times New Roman" w:hAnsi="Times New Roman" w:cs="Times New Roman"/>
          <w:b w:val="0"/>
        </w:rPr>
        <w:t> </w:t>
      </w:r>
      <w:r w:rsidRPr="00192DF5">
        <w:rPr>
          <w:rStyle w:val="Pogrubienie"/>
          <w:rFonts w:ascii="Times New Roman" w:hAnsi="Times New Roman" w:cs="Times New Roman"/>
          <w:b w:val="0"/>
        </w:rPr>
        <w:t>ograniczenie błędów wynikających z pośpiechu. Nowe przepisy są również lepiej dostosowane do</w:t>
      </w:r>
      <w:r w:rsidR="00C932B4" w:rsidRPr="00192DF5">
        <w:rPr>
          <w:rStyle w:val="Pogrubienie"/>
          <w:rFonts w:ascii="Times New Roman" w:hAnsi="Times New Roman" w:cs="Times New Roman"/>
          <w:b w:val="0"/>
        </w:rPr>
        <w:t> </w:t>
      </w:r>
      <w:r w:rsidRPr="00192DF5">
        <w:rPr>
          <w:rStyle w:val="Pogrubienie"/>
          <w:rFonts w:ascii="Times New Roman" w:hAnsi="Times New Roman" w:cs="Times New Roman"/>
          <w:b w:val="0"/>
        </w:rPr>
        <w:t>praktyki administracyjnej i rytmu pracy instytucji oraz przedsiębiorstw, ponieważ eliminują niejednoznaczności związane z obowiązkiem raportowania w nieregularne dni robocze. Jednocześnie redukcja częstotliwości raportowania może przyczynić się do obniżenia kosztów obsługi po stronie zarówno podmiotów raportujących, jak i instytucji odbierających dane, bez istotnego wpływu na</w:t>
      </w:r>
      <w:r w:rsidR="00C932B4" w:rsidRPr="00192DF5">
        <w:rPr>
          <w:rStyle w:val="Pogrubienie"/>
          <w:rFonts w:ascii="Times New Roman" w:hAnsi="Times New Roman" w:cs="Times New Roman"/>
          <w:b w:val="0"/>
        </w:rPr>
        <w:t> </w:t>
      </w:r>
      <w:r w:rsidRPr="00192DF5">
        <w:rPr>
          <w:rStyle w:val="Pogrubienie"/>
          <w:rFonts w:ascii="Times New Roman" w:hAnsi="Times New Roman" w:cs="Times New Roman"/>
          <w:b w:val="0"/>
        </w:rPr>
        <w:t xml:space="preserve">aktualność przekazywanych informacji. Projektowane zmiany mają więc charakter </w:t>
      </w:r>
      <w:r w:rsidRPr="00192DF5">
        <w:rPr>
          <w:rStyle w:val="Pogrubienie"/>
          <w:rFonts w:ascii="Times New Roman" w:hAnsi="Times New Roman" w:cs="Times New Roman"/>
          <w:b w:val="0"/>
          <w:bCs w:val="0"/>
        </w:rPr>
        <w:t>organizacyjny i</w:t>
      </w:r>
      <w:r w:rsidR="00C932B4" w:rsidRPr="00192DF5">
        <w:rPr>
          <w:rStyle w:val="Pogrubienie"/>
          <w:rFonts w:ascii="Times New Roman" w:hAnsi="Times New Roman" w:cs="Times New Roman"/>
          <w:b w:val="0"/>
          <w:bCs w:val="0"/>
        </w:rPr>
        <w:t> </w:t>
      </w:r>
      <w:r w:rsidRPr="00192DF5">
        <w:rPr>
          <w:rStyle w:val="Pogrubienie"/>
          <w:rFonts w:ascii="Times New Roman" w:hAnsi="Times New Roman" w:cs="Times New Roman"/>
          <w:b w:val="0"/>
          <w:bCs w:val="0"/>
        </w:rPr>
        <w:t>administracyjny</w:t>
      </w:r>
      <w:r w:rsidRPr="00192DF5">
        <w:rPr>
          <w:rStyle w:val="Pogrubienie"/>
          <w:rFonts w:ascii="Times New Roman" w:hAnsi="Times New Roman" w:cs="Times New Roman"/>
          <w:b w:val="0"/>
        </w:rPr>
        <w:t xml:space="preserve">, a ich głównym celem jest </w:t>
      </w:r>
      <w:r w:rsidRPr="00192DF5">
        <w:rPr>
          <w:rStyle w:val="Pogrubienie"/>
          <w:rFonts w:ascii="Times New Roman" w:hAnsi="Times New Roman" w:cs="Times New Roman"/>
          <w:b w:val="0"/>
          <w:bCs w:val="0"/>
        </w:rPr>
        <w:t>uproszczenie procedur, zmniejszenie obciążeń oraz</w:t>
      </w:r>
      <w:r w:rsidR="00C932B4" w:rsidRPr="00192DF5">
        <w:rPr>
          <w:rStyle w:val="Pogrubienie"/>
          <w:rFonts w:ascii="Times New Roman" w:hAnsi="Times New Roman" w:cs="Times New Roman"/>
          <w:b w:val="0"/>
          <w:bCs w:val="0"/>
        </w:rPr>
        <w:t> </w:t>
      </w:r>
      <w:r w:rsidRPr="00192DF5">
        <w:rPr>
          <w:rStyle w:val="Pogrubienie"/>
          <w:rFonts w:ascii="Times New Roman" w:hAnsi="Times New Roman" w:cs="Times New Roman"/>
          <w:b w:val="0"/>
          <w:bCs w:val="0"/>
        </w:rPr>
        <w:t>zwiększenie elastyczności i efektywności systemu raportowania</w:t>
      </w:r>
      <w:r w:rsidRPr="00192DF5">
        <w:rPr>
          <w:rStyle w:val="Pogrubienie"/>
          <w:rFonts w:ascii="Times New Roman" w:hAnsi="Times New Roman" w:cs="Times New Roman"/>
          <w:b w:val="0"/>
        </w:rPr>
        <w:t xml:space="preserve"> danych.</w:t>
      </w:r>
    </w:p>
    <w:p w14:paraId="64D95531" w14:textId="77777777" w:rsidR="005F0841" w:rsidRPr="00192DF5" w:rsidRDefault="00007936" w:rsidP="00192DF5">
      <w:pPr>
        <w:pStyle w:val="NIEARTTEKSTtekstnieartykuowanynppodstprawnarozplubpreambua"/>
        <w:spacing w:before="0" w:after="120" w:line="360" w:lineRule="auto"/>
        <w:ind w:firstLine="0"/>
        <w:rPr>
          <w:rFonts w:ascii="Times New Roman" w:hAnsi="Times New Roman" w:cs="Times New Roman"/>
          <w:b/>
          <w:szCs w:val="24"/>
        </w:rPr>
      </w:pPr>
      <w:r w:rsidRPr="00192DF5">
        <w:rPr>
          <w:rFonts w:ascii="Times New Roman" w:hAnsi="Times New Roman" w:cs="Times New Roman"/>
          <w:b/>
          <w:szCs w:val="24"/>
        </w:rPr>
        <w:t>Zmiana art. 30 (nowe brzmienie obecnej treści wraz z oznaczeniem jej jako ust. 1 oraz dodanie ust. 2 i 3)</w:t>
      </w:r>
    </w:p>
    <w:p w14:paraId="00A61BDC" w14:textId="37C1BE10" w:rsidR="005F0841" w:rsidRPr="00192DF5" w:rsidRDefault="00007936" w:rsidP="00192DF5">
      <w:pPr>
        <w:pStyle w:val="NIEARTTEKSTtekstnieartykuowanynppodstprawnarozplubpreambua"/>
        <w:spacing w:before="0" w:after="120" w:line="360" w:lineRule="auto"/>
        <w:ind w:firstLine="0"/>
        <w:rPr>
          <w:rFonts w:ascii="Times New Roman" w:hAnsi="Times New Roman" w:cs="Times New Roman"/>
          <w:szCs w:val="24"/>
        </w:rPr>
      </w:pPr>
      <w:r w:rsidRPr="00192DF5">
        <w:rPr>
          <w:rFonts w:ascii="Times New Roman" w:hAnsi="Times New Roman" w:cs="Times New Roman"/>
          <w:szCs w:val="24"/>
        </w:rPr>
        <w:t>Projekt ustaw</w:t>
      </w:r>
      <w:r w:rsidR="0029567D" w:rsidRPr="00192DF5">
        <w:rPr>
          <w:rFonts w:ascii="Times New Roman" w:hAnsi="Times New Roman" w:cs="Times New Roman"/>
          <w:szCs w:val="24"/>
        </w:rPr>
        <w:t>y</w:t>
      </w:r>
      <w:r w:rsidRPr="00192DF5">
        <w:rPr>
          <w:rFonts w:ascii="Times New Roman" w:hAnsi="Times New Roman" w:cs="Times New Roman"/>
          <w:szCs w:val="24"/>
        </w:rPr>
        <w:t xml:space="preserve"> wydłuża termin na przekazanie przez producenta filmu do Filmoteki Narodowej </w:t>
      </w:r>
      <w:r w:rsidR="00D4533F" w:rsidRPr="00192DF5">
        <w:rPr>
          <w:rFonts w:ascii="Times New Roman" w:hAnsi="Times New Roman" w:cs="Times New Roman"/>
          <w:szCs w:val="24"/>
        </w:rPr>
        <w:t>– Instytutu Audiowizualnego</w:t>
      </w:r>
      <w:r w:rsidR="00F91D5C" w:rsidRPr="00192DF5">
        <w:rPr>
          <w:rFonts w:ascii="Times New Roman" w:hAnsi="Times New Roman" w:cs="Times New Roman"/>
          <w:szCs w:val="24"/>
        </w:rPr>
        <w:t xml:space="preserve">, </w:t>
      </w:r>
      <w:r w:rsidRPr="00192DF5">
        <w:rPr>
          <w:rFonts w:ascii="Times New Roman" w:hAnsi="Times New Roman" w:cs="Times New Roman"/>
          <w:szCs w:val="24"/>
        </w:rPr>
        <w:t>zwanej dalej „FINA”</w:t>
      </w:r>
      <w:r w:rsidR="00F91D5C" w:rsidRPr="00192DF5">
        <w:rPr>
          <w:rFonts w:ascii="Times New Roman" w:hAnsi="Times New Roman" w:cs="Times New Roman"/>
          <w:szCs w:val="24"/>
        </w:rPr>
        <w:t>,</w:t>
      </w:r>
      <w:r w:rsidRPr="00192DF5">
        <w:rPr>
          <w:rFonts w:ascii="Times New Roman" w:hAnsi="Times New Roman" w:cs="Times New Roman"/>
          <w:szCs w:val="24"/>
        </w:rPr>
        <w:t xml:space="preserve"> nieeksploatowanej kopii filmu wraz z </w:t>
      </w:r>
      <w:r w:rsidRPr="00192DF5">
        <w:rPr>
          <w:rFonts w:ascii="Times New Roman" w:hAnsi="Times New Roman" w:cs="Times New Roman"/>
          <w:szCs w:val="24"/>
        </w:rPr>
        <w:lastRenderedPageBreak/>
        <w:t xml:space="preserve">materiałami dokumentacyjnymi związanymi z jego produkcją do 60 dni od zakończenia produkcji – poprzednio termin ten wynosił 30 dni od zakończenia produkcji, </w:t>
      </w:r>
      <w:r w:rsidR="0043588E" w:rsidRPr="00192DF5">
        <w:rPr>
          <w:rFonts w:ascii="Times New Roman" w:hAnsi="Times New Roman" w:cs="Times New Roman"/>
          <w:szCs w:val="24"/>
        </w:rPr>
        <w:t xml:space="preserve">jednak </w:t>
      </w:r>
      <w:proofErr w:type="spellStart"/>
      <w:r w:rsidRPr="00192DF5">
        <w:rPr>
          <w:rFonts w:ascii="Times New Roman" w:hAnsi="Times New Roman" w:cs="Times New Roman"/>
          <w:szCs w:val="24"/>
        </w:rPr>
        <w:t>niepóźniej</w:t>
      </w:r>
      <w:proofErr w:type="spellEnd"/>
      <w:r w:rsidRPr="00192DF5">
        <w:rPr>
          <w:rFonts w:ascii="Times New Roman" w:hAnsi="Times New Roman" w:cs="Times New Roman"/>
          <w:szCs w:val="24"/>
        </w:rPr>
        <w:t xml:space="preserve"> niż do dnia rozpoczęcia dystrybucji filmu. Wydłużenie terminu pozwoli producentom na skuteczniejsze wykonanie</w:t>
      </w:r>
      <w:r w:rsidR="0043588E" w:rsidRPr="00192DF5">
        <w:rPr>
          <w:rFonts w:ascii="Times New Roman" w:hAnsi="Times New Roman" w:cs="Times New Roman"/>
          <w:szCs w:val="24"/>
        </w:rPr>
        <w:t xml:space="preserve"> tego</w:t>
      </w:r>
      <w:r w:rsidRPr="00192DF5">
        <w:rPr>
          <w:rFonts w:ascii="Times New Roman" w:hAnsi="Times New Roman" w:cs="Times New Roman"/>
          <w:szCs w:val="24"/>
        </w:rPr>
        <w:t xml:space="preserve"> obowiązku.</w:t>
      </w:r>
    </w:p>
    <w:p w14:paraId="7F877F57" w14:textId="5A53EB79" w:rsidR="005F0841" w:rsidRPr="00192DF5" w:rsidRDefault="00007936" w:rsidP="00192DF5">
      <w:pPr>
        <w:pStyle w:val="NIEARTTEKSTtekstnieartykuowanynppodstprawnarozplubpreambua"/>
        <w:spacing w:before="0" w:after="120" w:line="360" w:lineRule="auto"/>
        <w:ind w:firstLine="0"/>
        <w:rPr>
          <w:rFonts w:ascii="Times New Roman" w:hAnsi="Times New Roman" w:cs="Times New Roman"/>
          <w:szCs w:val="24"/>
        </w:rPr>
      </w:pPr>
      <w:r w:rsidRPr="00192DF5">
        <w:rPr>
          <w:rFonts w:ascii="Times New Roman" w:hAnsi="Times New Roman" w:cs="Times New Roman"/>
          <w:szCs w:val="24"/>
        </w:rPr>
        <w:t>Zgodnie z projekt</w:t>
      </w:r>
      <w:r w:rsidR="0029567D" w:rsidRPr="00192DF5">
        <w:rPr>
          <w:rFonts w:ascii="Times New Roman" w:hAnsi="Times New Roman" w:cs="Times New Roman"/>
          <w:szCs w:val="24"/>
        </w:rPr>
        <w:t>em</w:t>
      </w:r>
      <w:r w:rsidRPr="00192DF5">
        <w:rPr>
          <w:rFonts w:ascii="Times New Roman" w:hAnsi="Times New Roman" w:cs="Times New Roman"/>
          <w:szCs w:val="24"/>
        </w:rPr>
        <w:t xml:space="preserve"> ustaw</w:t>
      </w:r>
      <w:r w:rsidR="0029567D" w:rsidRPr="00192DF5">
        <w:rPr>
          <w:rFonts w:ascii="Times New Roman" w:hAnsi="Times New Roman" w:cs="Times New Roman"/>
          <w:szCs w:val="24"/>
        </w:rPr>
        <w:t>y</w:t>
      </w:r>
      <w:r w:rsidRPr="00192DF5">
        <w:rPr>
          <w:rFonts w:ascii="Times New Roman" w:hAnsi="Times New Roman" w:cs="Times New Roman"/>
          <w:szCs w:val="24"/>
        </w:rPr>
        <w:t>, na wniosek producenta złożony w terminie 30 dni od zakończenia produkcji, dyrektor państwowej instytucji kultury wyspecjalizowanej w zakresie ochrony</w:t>
      </w:r>
      <w:r w:rsidR="0029567D" w:rsidRPr="00192DF5">
        <w:rPr>
          <w:rFonts w:ascii="Times New Roman" w:hAnsi="Times New Roman" w:cs="Times New Roman"/>
          <w:szCs w:val="24"/>
        </w:rPr>
        <w:t xml:space="preserve"> narodowego</w:t>
      </w:r>
      <w:r w:rsidRPr="00192DF5">
        <w:rPr>
          <w:rFonts w:ascii="Times New Roman" w:hAnsi="Times New Roman" w:cs="Times New Roman"/>
          <w:szCs w:val="24"/>
        </w:rPr>
        <w:t xml:space="preserve"> dziedzictwa</w:t>
      </w:r>
      <w:r w:rsidR="0029567D" w:rsidRPr="00192DF5">
        <w:rPr>
          <w:rFonts w:ascii="Times New Roman" w:hAnsi="Times New Roman" w:cs="Times New Roman"/>
          <w:szCs w:val="24"/>
        </w:rPr>
        <w:t xml:space="preserve"> kulturalnego w dziedzinie</w:t>
      </w:r>
      <w:r w:rsidRPr="00192DF5">
        <w:rPr>
          <w:rFonts w:ascii="Times New Roman" w:hAnsi="Times New Roman" w:cs="Times New Roman"/>
          <w:szCs w:val="24"/>
        </w:rPr>
        <w:t xml:space="preserve"> kinematografi</w:t>
      </w:r>
      <w:r w:rsidR="0029567D" w:rsidRPr="00192DF5">
        <w:rPr>
          <w:rFonts w:ascii="Times New Roman" w:hAnsi="Times New Roman" w:cs="Times New Roman"/>
          <w:szCs w:val="24"/>
        </w:rPr>
        <w:t>i</w:t>
      </w:r>
      <w:r w:rsidRPr="00192DF5">
        <w:rPr>
          <w:rFonts w:ascii="Times New Roman" w:hAnsi="Times New Roman" w:cs="Times New Roman"/>
          <w:szCs w:val="24"/>
        </w:rPr>
        <w:t xml:space="preserve"> </w:t>
      </w:r>
      <w:r w:rsidR="009B0249" w:rsidRPr="00192DF5">
        <w:rPr>
          <w:rFonts w:ascii="Times New Roman" w:hAnsi="Times New Roman" w:cs="Times New Roman"/>
          <w:szCs w:val="24"/>
        </w:rPr>
        <w:t>wskazuje</w:t>
      </w:r>
      <w:r w:rsidRPr="00192DF5">
        <w:rPr>
          <w:rFonts w:ascii="Times New Roman" w:hAnsi="Times New Roman" w:cs="Times New Roman"/>
          <w:szCs w:val="24"/>
        </w:rPr>
        <w:t xml:space="preserve"> standard techniczny kopii przekazywanej do</w:t>
      </w:r>
      <w:r w:rsidR="00C932B4" w:rsidRPr="00192DF5">
        <w:rPr>
          <w:rFonts w:ascii="Times New Roman" w:hAnsi="Times New Roman" w:cs="Times New Roman"/>
          <w:szCs w:val="24"/>
        </w:rPr>
        <w:t> </w:t>
      </w:r>
      <w:r w:rsidRPr="00192DF5">
        <w:rPr>
          <w:rFonts w:ascii="Times New Roman" w:hAnsi="Times New Roman" w:cs="Times New Roman"/>
          <w:szCs w:val="24"/>
        </w:rPr>
        <w:t>archiwum. Regulacja ta pozostaje spójna z art. 28 ust. 2 pkt 2 ustawy</w:t>
      </w:r>
      <w:r w:rsidRPr="00192DF5">
        <w:rPr>
          <w:rStyle w:val="Pogrubienie"/>
          <w:rFonts w:ascii="Times New Roman" w:hAnsi="Times New Roman" w:cs="Times New Roman"/>
          <w:b w:val="0"/>
          <w:szCs w:val="24"/>
        </w:rPr>
        <w:t xml:space="preserve"> z dnia 30 czerwca 2005 r.</w:t>
      </w:r>
      <w:r w:rsidRPr="00192DF5">
        <w:rPr>
          <w:rFonts w:ascii="Times New Roman" w:hAnsi="Times New Roman" w:cs="Times New Roman"/>
          <w:szCs w:val="24"/>
        </w:rPr>
        <w:t xml:space="preserve"> o</w:t>
      </w:r>
      <w:r w:rsidR="00C932B4" w:rsidRPr="00192DF5">
        <w:rPr>
          <w:rFonts w:ascii="Times New Roman" w:hAnsi="Times New Roman" w:cs="Times New Roman"/>
          <w:szCs w:val="24"/>
        </w:rPr>
        <w:t> </w:t>
      </w:r>
      <w:r w:rsidRPr="00192DF5">
        <w:rPr>
          <w:rFonts w:ascii="Times New Roman" w:hAnsi="Times New Roman" w:cs="Times New Roman"/>
          <w:szCs w:val="24"/>
        </w:rPr>
        <w:t>kinematografii, który przewiduje obowiązek wypracowywania metodologii archiwizacji filmów polskich i dokumentacji historyczno-filmowej.</w:t>
      </w:r>
    </w:p>
    <w:p w14:paraId="0C2D2432" w14:textId="17053341" w:rsidR="005F0841" w:rsidRPr="00192DF5" w:rsidRDefault="00007936" w:rsidP="00192DF5">
      <w:pPr>
        <w:pStyle w:val="NIEARTTEKSTtekstnieartykuowanynppodstprawnarozplubpreambua"/>
        <w:spacing w:before="0" w:after="120" w:line="360" w:lineRule="auto"/>
        <w:ind w:firstLine="0"/>
        <w:rPr>
          <w:rFonts w:ascii="Times New Roman" w:hAnsi="Times New Roman" w:cs="Times New Roman"/>
          <w:szCs w:val="24"/>
        </w:rPr>
      </w:pPr>
      <w:r w:rsidRPr="00192DF5">
        <w:rPr>
          <w:rFonts w:ascii="Times New Roman" w:hAnsi="Times New Roman" w:cs="Times New Roman"/>
          <w:szCs w:val="24"/>
        </w:rPr>
        <w:t>Należy podkreślić, że nie każdy film – w szczególności telewizyjny, przechowywany co do zasady na</w:t>
      </w:r>
      <w:r w:rsidR="00C932B4" w:rsidRPr="00192DF5">
        <w:rPr>
          <w:rFonts w:ascii="Times New Roman" w:hAnsi="Times New Roman" w:cs="Times New Roman"/>
          <w:szCs w:val="24"/>
        </w:rPr>
        <w:t> </w:t>
      </w:r>
      <w:r w:rsidRPr="00192DF5">
        <w:rPr>
          <w:rFonts w:ascii="Times New Roman" w:hAnsi="Times New Roman" w:cs="Times New Roman"/>
          <w:szCs w:val="24"/>
        </w:rPr>
        <w:t xml:space="preserve">nośniku cyfrowym – wymaga wykonania kosztownej kopii światłoczułej, gdyż w wielu przypadkach </w:t>
      </w:r>
      <w:r w:rsidR="00F91D5C" w:rsidRPr="00192DF5">
        <w:rPr>
          <w:rFonts w:ascii="Times New Roman" w:hAnsi="Times New Roman" w:cs="Times New Roman"/>
          <w:szCs w:val="24"/>
        </w:rPr>
        <w:t xml:space="preserve">jest </w:t>
      </w:r>
      <w:r w:rsidRPr="00192DF5">
        <w:rPr>
          <w:rFonts w:ascii="Times New Roman" w:hAnsi="Times New Roman" w:cs="Times New Roman"/>
          <w:szCs w:val="24"/>
        </w:rPr>
        <w:t>wystarczająca kopia cyfrowa w wysokiej rozdzielczości. Proponowana zmiana art. 30 pozwoli ograniczyć koszty producentów związane z przygotowaniem kopii obowiązkowej, a jednocześnie zwiększy elastyczność systemu i zmniejszy skalę unikania tego obowiązku. Nowe przepisy wprowadzają również możliwość klasyfikacji archiwalnej kopii filmowych zróżnicowanej pod względem okresu przechowywania – nie każdy film wymaga bowiem wieczystej archiwizacji</w:t>
      </w:r>
      <w:r w:rsidR="00F91D5C" w:rsidRPr="00192DF5">
        <w:rPr>
          <w:rFonts w:ascii="Times New Roman" w:hAnsi="Times New Roman" w:cs="Times New Roman"/>
          <w:szCs w:val="24"/>
        </w:rPr>
        <w:t>.</w:t>
      </w:r>
      <w:r w:rsidRPr="00192DF5">
        <w:rPr>
          <w:rFonts w:ascii="Times New Roman" w:hAnsi="Times New Roman" w:cs="Times New Roman"/>
          <w:szCs w:val="24"/>
        </w:rPr>
        <w:t xml:space="preserve"> </w:t>
      </w:r>
      <w:r w:rsidR="00F91D5C" w:rsidRPr="00192DF5">
        <w:rPr>
          <w:rFonts w:ascii="Times New Roman" w:hAnsi="Times New Roman" w:cs="Times New Roman"/>
          <w:szCs w:val="24"/>
        </w:rPr>
        <w:t>J</w:t>
      </w:r>
      <w:r w:rsidR="0029567D" w:rsidRPr="00192DF5">
        <w:rPr>
          <w:rFonts w:ascii="Times New Roman" w:hAnsi="Times New Roman" w:cs="Times New Roman"/>
          <w:szCs w:val="24"/>
        </w:rPr>
        <w:t xml:space="preserve">est </w:t>
      </w:r>
      <w:r w:rsidRPr="00192DF5">
        <w:rPr>
          <w:rFonts w:ascii="Times New Roman" w:hAnsi="Times New Roman" w:cs="Times New Roman"/>
          <w:szCs w:val="24"/>
        </w:rPr>
        <w:t>możliwe np. ustalenie 100-letniego okresu i</w:t>
      </w:r>
      <w:r w:rsidR="00C932B4" w:rsidRPr="00192DF5">
        <w:rPr>
          <w:rFonts w:ascii="Times New Roman" w:hAnsi="Times New Roman" w:cs="Times New Roman"/>
          <w:szCs w:val="24"/>
        </w:rPr>
        <w:t> </w:t>
      </w:r>
      <w:r w:rsidRPr="00192DF5">
        <w:rPr>
          <w:rFonts w:ascii="Times New Roman" w:hAnsi="Times New Roman" w:cs="Times New Roman"/>
          <w:szCs w:val="24"/>
        </w:rPr>
        <w:t>ponowne dokonanie oceny po jego upływie. Takie gradacyjne podejście, od lat stosowane w archiwistyce, pozwala racjonalnie gospodarować zasobami i zapewnia skuteczną ochronę dorobku audiowizualnego.</w:t>
      </w:r>
    </w:p>
    <w:p w14:paraId="3AD24D48" w14:textId="77777777" w:rsidR="005F0841" w:rsidRPr="00192DF5" w:rsidRDefault="00007936" w:rsidP="00192DF5">
      <w:pPr>
        <w:pStyle w:val="NIEARTTEKSTtekstnieartykuowanynppodstprawnarozplubpreambua"/>
        <w:spacing w:before="0" w:after="120" w:line="360" w:lineRule="auto"/>
        <w:ind w:firstLine="0"/>
        <w:rPr>
          <w:rFonts w:ascii="Times New Roman" w:hAnsi="Times New Roman" w:cs="Times New Roman"/>
          <w:b/>
          <w:szCs w:val="24"/>
        </w:rPr>
      </w:pPr>
      <w:r w:rsidRPr="00192DF5">
        <w:rPr>
          <w:rFonts w:ascii="Times New Roman" w:hAnsi="Times New Roman" w:cs="Times New Roman"/>
          <w:b/>
          <w:szCs w:val="24"/>
        </w:rPr>
        <w:t>Dodanie art. 30a ust. 1 i 2 – zasady wsparcia sporządzania kopii archiwalnych filmów</w:t>
      </w:r>
    </w:p>
    <w:p w14:paraId="30EBA90F" w14:textId="2CDF985A" w:rsidR="005F0841" w:rsidRPr="00192DF5" w:rsidRDefault="00007936" w:rsidP="00192DF5">
      <w:pPr>
        <w:pStyle w:val="NIEARTTEKSTtekstnieartykuowanynppodstprawnarozplubpreambua"/>
        <w:spacing w:before="0" w:after="120" w:line="360" w:lineRule="auto"/>
        <w:ind w:firstLine="0"/>
        <w:rPr>
          <w:rFonts w:ascii="Times New Roman" w:hAnsi="Times New Roman" w:cs="Times New Roman"/>
          <w:szCs w:val="24"/>
        </w:rPr>
      </w:pPr>
      <w:r w:rsidRPr="00192DF5">
        <w:rPr>
          <w:rFonts w:ascii="Times New Roman" w:hAnsi="Times New Roman" w:cs="Times New Roman"/>
          <w:szCs w:val="24"/>
        </w:rPr>
        <w:t xml:space="preserve">Nowy art. 30a ust. 1 wprowadza mechanizm wsparcia finansowego dla producentów filmów mających szczególne znaczenie kulturowe. Państwowa instytucja kultury będzie mogła – w całości lub częściowo – pokryć koszty przygotowania kopii archiwalnej filmu, jeśli jest to uzasadnione z punktu widzenia ochrony dziedzictwa narodowego. Aby zapewnić przejrzystość i rzetelność decyzji, w FINA </w:t>
      </w:r>
      <w:r w:rsidR="0029567D" w:rsidRPr="00192DF5">
        <w:rPr>
          <w:rFonts w:ascii="Times New Roman" w:hAnsi="Times New Roman" w:cs="Times New Roman"/>
          <w:szCs w:val="24"/>
        </w:rPr>
        <w:t xml:space="preserve">jest </w:t>
      </w:r>
      <w:r w:rsidRPr="00192DF5">
        <w:rPr>
          <w:rFonts w:ascii="Times New Roman" w:hAnsi="Times New Roman" w:cs="Times New Roman"/>
          <w:szCs w:val="24"/>
        </w:rPr>
        <w:t>planowane</w:t>
      </w:r>
      <w:r w:rsidR="00192DF5">
        <w:rPr>
          <w:rFonts w:ascii="Times New Roman" w:hAnsi="Times New Roman" w:cs="Times New Roman"/>
          <w:szCs w:val="24"/>
        </w:rPr>
        <w:t xml:space="preserve"> </w:t>
      </w:r>
      <w:r w:rsidRPr="00192DF5">
        <w:rPr>
          <w:rFonts w:ascii="Times New Roman" w:hAnsi="Times New Roman" w:cs="Times New Roman"/>
          <w:szCs w:val="24"/>
        </w:rPr>
        <w:t xml:space="preserve">powołanie zespołu ekspertów zajmującego się oceną takich przypadków. Obecnie przepisy nie przewidują wprost kompetencji tej instytucji do finansowania przygotowania archiwalnych kopii filmów, dlatego dodanie omawianego przepisu wypełnia istniejącą lukę prawną i umożliwia zabezpieczenie dzieł szczególnie wartościowych dla przyszłych pokoleń. </w:t>
      </w:r>
    </w:p>
    <w:p w14:paraId="5BC17F7C" w14:textId="40629D61" w:rsidR="005F0841" w:rsidRPr="00192DF5" w:rsidRDefault="00007936" w:rsidP="00192DF5">
      <w:pPr>
        <w:pStyle w:val="NIEARTTEKSTtekstnieartykuowanynppodstprawnarozplubpreambua"/>
        <w:spacing w:before="0" w:after="120" w:line="360" w:lineRule="auto"/>
        <w:ind w:firstLine="0"/>
        <w:rPr>
          <w:rFonts w:ascii="Times New Roman" w:hAnsi="Times New Roman" w:cs="Times New Roman"/>
          <w:szCs w:val="24"/>
        </w:rPr>
      </w:pPr>
      <w:r w:rsidRPr="00192DF5">
        <w:rPr>
          <w:rFonts w:ascii="Times New Roman" w:hAnsi="Times New Roman" w:cs="Times New Roman"/>
          <w:szCs w:val="24"/>
        </w:rPr>
        <w:lastRenderedPageBreak/>
        <w:t>Regulacja ta stanowi zrównoważone rozwiązanie: z jednej strony zapewnia ochronę istotnych dla kultury zasobów filmowych, z drugiej – chroni producentów przed nadmiernymi obowiązkami w sytuacjach, gdy</w:t>
      </w:r>
      <w:r w:rsidR="00C932B4" w:rsidRPr="00192DF5">
        <w:rPr>
          <w:rFonts w:ascii="Times New Roman" w:hAnsi="Times New Roman" w:cs="Times New Roman"/>
          <w:szCs w:val="24"/>
        </w:rPr>
        <w:t> </w:t>
      </w:r>
      <w:r w:rsidRPr="00192DF5">
        <w:rPr>
          <w:rFonts w:ascii="Times New Roman" w:hAnsi="Times New Roman" w:cs="Times New Roman"/>
          <w:szCs w:val="24"/>
        </w:rPr>
        <w:t>przekazywanie kopii nie służy celom publicznym.</w:t>
      </w:r>
    </w:p>
    <w:p w14:paraId="2944AC7D" w14:textId="1DF4478F" w:rsidR="005F0841" w:rsidRPr="00192DF5" w:rsidRDefault="00007936" w:rsidP="00192DF5">
      <w:pPr>
        <w:pStyle w:val="NIEARTTEKSTtekstnieartykuowanynppodstprawnarozplubpreambua"/>
        <w:spacing w:before="0" w:after="120" w:line="360" w:lineRule="auto"/>
        <w:ind w:firstLine="0"/>
        <w:rPr>
          <w:rFonts w:ascii="Times New Roman" w:hAnsi="Times New Roman" w:cs="Times New Roman"/>
          <w:szCs w:val="24"/>
        </w:rPr>
      </w:pPr>
      <w:r w:rsidRPr="00192DF5">
        <w:rPr>
          <w:rFonts w:ascii="Times New Roman" w:hAnsi="Times New Roman" w:cs="Times New Roman"/>
          <w:szCs w:val="24"/>
        </w:rPr>
        <w:t>W dalszej perspektywie zostanie również wprowadzony system selektywnego wyboru filmów do</w:t>
      </w:r>
      <w:r w:rsidR="00C932B4" w:rsidRPr="00192DF5">
        <w:rPr>
          <w:rFonts w:ascii="Times New Roman" w:hAnsi="Times New Roman" w:cs="Times New Roman"/>
          <w:szCs w:val="24"/>
        </w:rPr>
        <w:t> </w:t>
      </w:r>
      <w:r w:rsidRPr="00192DF5">
        <w:rPr>
          <w:rFonts w:ascii="Times New Roman" w:hAnsi="Times New Roman" w:cs="Times New Roman"/>
          <w:szCs w:val="24"/>
        </w:rPr>
        <w:t>archiwizacji na materiałach światłoczułych. Zgodnie z wstępnie omawianym rozwiązaniem po</w:t>
      </w:r>
      <w:r w:rsidR="00C932B4" w:rsidRPr="00192DF5">
        <w:rPr>
          <w:rFonts w:ascii="Times New Roman" w:hAnsi="Times New Roman" w:cs="Times New Roman"/>
          <w:szCs w:val="24"/>
        </w:rPr>
        <w:t> </w:t>
      </w:r>
      <w:r w:rsidRPr="00192DF5">
        <w:rPr>
          <w:rFonts w:ascii="Times New Roman" w:hAnsi="Times New Roman" w:cs="Times New Roman"/>
          <w:szCs w:val="24"/>
        </w:rPr>
        <w:t xml:space="preserve">zakończeniu cyklu dystrybucyjno-festiwalowego (3–5 lat), niezależne grono ekspertów działających przy FINA – w którego skład wejdą przedstawiciele </w:t>
      </w:r>
      <w:proofErr w:type="spellStart"/>
      <w:r w:rsidRPr="00192DF5">
        <w:rPr>
          <w:rFonts w:ascii="Times New Roman" w:hAnsi="Times New Roman" w:cs="Times New Roman"/>
          <w:szCs w:val="24"/>
        </w:rPr>
        <w:t>MKiDN</w:t>
      </w:r>
      <w:proofErr w:type="spellEnd"/>
      <w:r w:rsidRPr="00192DF5">
        <w:rPr>
          <w:rFonts w:ascii="Times New Roman" w:hAnsi="Times New Roman" w:cs="Times New Roman"/>
          <w:szCs w:val="24"/>
        </w:rPr>
        <w:t xml:space="preserve"> i PISF, archiwiści, filmoznawcy, historycy filmu oraz reprezentanci organizacji branżowych z sektora audiowizualnego – będzie corocznie wskazywać ok</w:t>
      </w:r>
      <w:r w:rsidR="0029567D" w:rsidRPr="00192DF5">
        <w:rPr>
          <w:rFonts w:ascii="Times New Roman" w:hAnsi="Times New Roman" w:cs="Times New Roman"/>
          <w:szCs w:val="24"/>
        </w:rPr>
        <w:t>.</w:t>
      </w:r>
      <w:r w:rsidR="00C932B4" w:rsidRPr="00192DF5">
        <w:rPr>
          <w:rFonts w:ascii="Times New Roman" w:hAnsi="Times New Roman" w:cs="Times New Roman"/>
          <w:szCs w:val="24"/>
        </w:rPr>
        <w:t> </w:t>
      </w:r>
      <w:r w:rsidRPr="00192DF5">
        <w:rPr>
          <w:rFonts w:ascii="Times New Roman" w:hAnsi="Times New Roman" w:cs="Times New Roman"/>
          <w:szCs w:val="24"/>
        </w:rPr>
        <w:t>10 pełnometrażowych filmów fabularnych oraz 5–10 filmów innych gatunków przeznaczonych do</w:t>
      </w:r>
      <w:r w:rsidR="00C932B4" w:rsidRPr="00192DF5">
        <w:rPr>
          <w:rFonts w:ascii="Times New Roman" w:hAnsi="Times New Roman" w:cs="Times New Roman"/>
          <w:szCs w:val="24"/>
        </w:rPr>
        <w:t> </w:t>
      </w:r>
      <w:r w:rsidRPr="00192DF5">
        <w:rPr>
          <w:rFonts w:ascii="Times New Roman" w:hAnsi="Times New Roman" w:cs="Times New Roman"/>
          <w:szCs w:val="24"/>
        </w:rPr>
        <w:t xml:space="preserve">archiwizacji w postaci materiałów światłoczułych. Projektowana </w:t>
      </w:r>
      <w:r w:rsidR="0029567D" w:rsidRPr="00192DF5">
        <w:rPr>
          <w:rFonts w:ascii="Times New Roman" w:hAnsi="Times New Roman" w:cs="Times New Roman"/>
          <w:szCs w:val="24"/>
        </w:rPr>
        <w:t>r</w:t>
      </w:r>
      <w:r w:rsidRPr="00192DF5">
        <w:rPr>
          <w:rFonts w:ascii="Times New Roman" w:hAnsi="Times New Roman" w:cs="Times New Roman"/>
          <w:szCs w:val="24"/>
        </w:rPr>
        <w:t>ada, pełniąca funkcję organu opiniodawczo-doradczego, zostanie powołana po wejściu w życie projektowanych zmian w 2026</w:t>
      </w:r>
      <w:r w:rsidR="009711EC" w:rsidRPr="00192DF5">
        <w:rPr>
          <w:rFonts w:ascii="Times New Roman" w:hAnsi="Times New Roman" w:cs="Times New Roman"/>
          <w:szCs w:val="24"/>
        </w:rPr>
        <w:t xml:space="preserve"> r.</w:t>
      </w:r>
      <w:r w:rsidRPr="00192DF5">
        <w:rPr>
          <w:rFonts w:ascii="Times New Roman" w:hAnsi="Times New Roman" w:cs="Times New Roman"/>
          <w:szCs w:val="24"/>
        </w:rPr>
        <w:t>, na</w:t>
      </w:r>
      <w:r w:rsidR="00C932B4" w:rsidRPr="00192DF5">
        <w:rPr>
          <w:rFonts w:ascii="Times New Roman" w:hAnsi="Times New Roman" w:cs="Times New Roman"/>
          <w:szCs w:val="24"/>
        </w:rPr>
        <w:t> </w:t>
      </w:r>
      <w:r w:rsidRPr="00192DF5">
        <w:rPr>
          <w:rFonts w:ascii="Times New Roman" w:hAnsi="Times New Roman" w:cs="Times New Roman"/>
          <w:szCs w:val="24"/>
        </w:rPr>
        <w:t xml:space="preserve">mocy zarządzenia </w:t>
      </w:r>
      <w:r w:rsidR="0029567D" w:rsidRPr="00192DF5">
        <w:rPr>
          <w:rFonts w:ascii="Times New Roman" w:hAnsi="Times New Roman" w:cs="Times New Roman"/>
          <w:szCs w:val="24"/>
        </w:rPr>
        <w:t>d</w:t>
      </w:r>
      <w:r w:rsidRPr="00192DF5">
        <w:rPr>
          <w:rFonts w:ascii="Times New Roman" w:hAnsi="Times New Roman" w:cs="Times New Roman"/>
          <w:szCs w:val="24"/>
        </w:rPr>
        <w:t>yrektora FINA. Kryterium wyboru stanowić będą m.in. osiągnięcia artystyczne i</w:t>
      </w:r>
      <w:r w:rsidR="00F800BB" w:rsidRPr="00192DF5">
        <w:rPr>
          <w:rFonts w:ascii="Times New Roman" w:hAnsi="Times New Roman" w:cs="Times New Roman"/>
          <w:szCs w:val="24"/>
        </w:rPr>
        <w:t> </w:t>
      </w:r>
      <w:r w:rsidRPr="00192DF5">
        <w:rPr>
          <w:rFonts w:ascii="Times New Roman" w:hAnsi="Times New Roman" w:cs="Times New Roman"/>
          <w:szCs w:val="24"/>
        </w:rPr>
        <w:t>frekwencyjne filmów, zdobyte nagrody, obecność na festiwalach oraz ich znaczenie historyczne i</w:t>
      </w:r>
      <w:r w:rsidR="00F800BB" w:rsidRPr="00192DF5">
        <w:rPr>
          <w:rFonts w:ascii="Times New Roman" w:hAnsi="Times New Roman" w:cs="Times New Roman"/>
          <w:szCs w:val="24"/>
        </w:rPr>
        <w:t> </w:t>
      </w:r>
      <w:r w:rsidRPr="00192DF5">
        <w:rPr>
          <w:rFonts w:ascii="Times New Roman" w:hAnsi="Times New Roman" w:cs="Times New Roman"/>
          <w:szCs w:val="24"/>
        </w:rPr>
        <w:t>kulturowe.</w:t>
      </w:r>
    </w:p>
    <w:p w14:paraId="4A99F53A" w14:textId="17569D22" w:rsidR="005F0841" w:rsidRPr="00192DF5" w:rsidRDefault="00007936" w:rsidP="00192DF5">
      <w:pPr>
        <w:pStyle w:val="NIEARTTEKSTtekstnieartykuowanynppodstprawnarozplubpreambua"/>
        <w:spacing w:before="0" w:after="120" w:line="360" w:lineRule="auto"/>
        <w:ind w:firstLine="0"/>
        <w:rPr>
          <w:rFonts w:ascii="Times New Roman" w:hAnsi="Times New Roman" w:cs="Times New Roman"/>
          <w:szCs w:val="24"/>
        </w:rPr>
      </w:pPr>
      <w:r w:rsidRPr="00192DF5">
        <w:rPr>
          <w:rFonts w:ascii="Times New Roman" w:hAnsi="Times New Roman" w:cs="Times New Roman"/>
          <w:szCs w:val="24"/>
        </w:rPr>
        <w:t>Przepis ust</w:t>
      </w:r>
      <w:r w:rsidR="00F91D5C" w:rsidRPr="00192DF5">
        <w:rPr>
          <w:rFonts w:ascii="Times New Roman" w:hAnsi="Times New Roman" w:cs="Times New Roman"/>
          <w:szCs w:val="24"/>
        </w:rPr>
        <w:t>.</w:t>
      </w:r>
      <w:r w:rsidRPr="00192DF5">
        <w:rPr>
          <w:rFonts w:ascii="Times New Roman" w:hAnsi="Times New Roman" w:cs="Times New Roman"/>
          <w:szCs w:val="24"/>
        </w:rPr>
        <w:t xml:space="preserve"> 2 art. 30a ma na celu zapewnienie systemowego wsparcia dla działań związanych z utrzymywaniem archiwów filmowych, co jest kluczowe dla zabezpieczenia dziedzictwa kulturowego i historycznego w obszarze filmu. Wprowadzenie obowiązku zawierania porozumienia między PISF a</w:t>
      </w:r>
      <w:r w:rsidR="00F800BB" w:rsidRPr="00192DF5">
        <w:rPr>
          <w:rFonts w:ascii="Times New Roman" w:hAnsi="Times New Roman" w:cs="Times New Roman"/>
          <w:szCs w:val="24"/>
        </w:rPr>
        <w:t> </w:t>
      </w:r>
      <w:r w:rsidRPr="00192DF5">
        <w:rPr>
          <w:rFonts w:ascii="Times New Roman" w:hAnsi="Times New Roman" w:cs="Times New Roman"/>
          <w:szCs w:val="24"/>
        </w:rPr>
        <w:t xml:space="preserve">FINA pozwoli na określenie środków finansowych, które PISF będzie przekazywał na pokrycie kosztów związanych z przygotowaniem archiwalnej kopii filmu, a także zasad współpracy dotyczących przekazywania tych środków. Przepisy te mają zapewnić </w:t>
      </w:r>
      <w:r w:rsidR="00F72641" w:rsidRPr="00192DF5">
        <w:rPr>
          <w:rFonts w:ascii="Times New Roman" w:hAnsi="Times New Roman" w:cs="Times New Roman"/>
          <w:szCs w:val="24"/>
        </w:rPr>
        <w:t>precyzyjne</w:t>
      </w:r>
      <w:r w:rsidRPr="00192DF5">
        <w:rPr>
          <w:rFonts w:ascii="Times New Roman" w:hAnsi="Times New Roman" w:cs="Times New Roman"/>
          <w:szCs w:val="24"/>
        </w:rPr>
        <w:t xml:space="preserve"> ramy finansowe i organizacyjne przyszłej współpracy, gwarantując przejrzystość i efektywność działań instytucji kultury. Jednocześnie regulacja ta zabezpiecza polskie dziedzictwo filmowe przez utrwalenie kopii archiwalnych, co jest niezbędne dla celów edukacyjnych, badawczych oraz dla przyszłej dostępności materiałów archiwalnych.</w:t>
      </w:r>
    </w:p>
    <w:p w14:paraId="0F61864B" w14:textId="77777777" w:rsidR="005F0841" w:rsidRPr="00192DF5" w:rsidRDefault="00007936" w:rsidP="00192DF5">
      <w:pPr>
        <w:pStyle w:val="NIEARTTEKSTtekstnieartykuowanynppodstprawnarozplubpreambua"/>
        <w:spacing w:before="0" w:after="120" w:line="360" w:lineRule="auto"/>
        <w:ind w:firstLine="0"/>
        <w:rPr>
          <w:rFonts w:ascii="Times New Roman" w:hAnsi="Times New Roman" w:cs="Times New Roman"/>
          <w:b/>
          <w:szCs w:val="24"/>
        </w:rPr>
      </w:pPr>
      <w:r w:rsidRPr="00192DF5">
        <w:rPr>
          <w:rFonts w:ascii="Times New Roman" w:hAnsi="Times New Roman" w:cs="Times New Roman"/>
          <w:b/>
          <w:szCs w:val="24"/>
        </w:rPr>
        <w:t>Art. 4 (przepisy przejściowe)</w:t>
      </w:r>
    </w:p>
    <w:p w14:paraId="2B69A504" w14:textId="5B71E755" w:rsidR="005F0841" w:rsidRPr="00192DF5" w:rsidRDefault="00007936" w:rsidP="00192DF5">
      <w:pPr>
        <w:pStyle w:val="NIEARTTEKSTtekstnieartykuowanynppodstprawnarozplubpreambua"/>
        <w:spacing w:before="0" w:after="120" w:line="360" w:lineRule="auto"/>
        <w:ind w:firstLine="0"/>
        <w:rPr>
          <w:rFonts w:ascii="Times New Roman" w:hAnsi="Times New Roman" w:cs="Times New Roman"/>
          <w:szCs w:val="24"/>
        </w:rPr>
      </w:pPr>
      <w:r w:rsidRPr="00192DF5">
        <w:rPr>
          <w:rFonts w:ascii="Times New Roman" w:hAnsi="Times New Roman" w:cs="Times New Roman"/>
          <w:szCs w:val="24"/>
        </w:rPr>
        <w:t>Przepisy przejściowe zawarte w art. 4 przewidują stosowanie dotychczasowych regulacji do wniosków o</w:t>
      </w:r>
      <w:r w:rsidR="00F800BB" w:rsidRPr="00192DF5">
        <w:rPr>
          <w:rFonts w:ascii="Times New Roman" w:hAnsi="Times New Roman" w:cs="Times New Roman"/>
          <w:szCs w:val="24"/>
        </w:rPr>
        <w:t> </w:t>
      </w:r>
      <w:r w:rsidRPr="00192DF5">
        <w:rPr>
          <w:rFonts w:ascii="Times New Roman" w:hAnsi="Times New Roman" w:cs="Times New Roman"/>
          <w:szCs w:val="24"/>
        </w:rPr>
        <w:t>wsparci</w:t>
      </w:r>
      <w:r w:rsidR="007C7701" w:rsidRPr="00192DF5">
        <w:rPr>
          <w:rFonts w:ascii="Times New Roman" w:hAnsi="Times New Roman" w:cs="Times New Roman"/>
          <w:szCs w:val="24"/>
        </w:rPr>
        <w:t>e</w:t>
      </w:r>
      <w:r w:rsidRPr="00192DF5">
        <w:rPr>
          <w:rFonts w:ascii="Times New Roman" w:hAnsi="Times New Roman" w:cs="Times New Roman"/>
          <w:szCs w:val="24"/>
        </w:rPr>
        <w:t xml:space="preserve"> finansowe, o których mowa w art. 18 ust</w:t>
      </w:r>
      <w:r w:rsidR="004A4643" w:rsidRPr="00192DF5">
        <w:rPr>
          <w:rFonts w:ascii="Times New Roman" w:hAnsi="Times New Roman" w:cs="Times New Roman"/>
          <w:szCs w:val="24"/>
        </w:rPr>
        <w:t>. 1 ustawy zmienianej w art. 1,</w:t>
      </w:r>
      <w:r w:rsidRPr="00192DF5">
        <w:rPr>
          <w:rFonts w:ascii="Times New Roman" w:hAnsi="Times New Roman" w:cs="Times New Roman"/>
          <w:szCs w:val="24"/>
        </w:rPr>
        <w:t xml:space="preserve"> złożonych i nierozpatrzonych przed wejściem w życie nowelizacji oraz do umów już zawartych. Rozwiązanie to ma na celu ochronę zasady pewności prawa oraz zaufania obywateli do państwa. Dzięki temu wnioskodawcy, którzy rozpoczęli procedurę na podstawie dotychczasowych przepisów, będą mieli gwarancję, że ich sytuacja nie ulegnie zmianie </w:t>
      </w:r>
      <w:r w:rsidRPr="00192DF5">
        <w:rPr>
          <w:rFonts w:ascii="Times New Roman" w:hAnsi="Times New Roman" w:cs="Times New Roman"/>
          <w:szCs w:val="24"/>
        </w:rPr>
        <w:lastRenderedPageBreak/>
        <w:t xml:space="preserve">wskutek wejścia w życie nowych regulacji. Pozwala to uniknąć wątpliwości interpretacyjnych i zabezpiecza płynność realizacji rozpoczętych projektów. </w:t>
      </w:r>
    </w:p>
    <w:p w14:paraId="0EEC6605" w14:textId="77777777" w:rsidR="005F0841" w:rsidRPr="00192DF5" w:rsidRDefault="00007936" w:rsidP="00192DF5">
      <w:pPr>
        <w:pStyle w:val="NIEARTTEKSTtekstnieartykuowanynppodstprawnarozplubpreambua"/>
        <w:spacing w:before="0" w:after="120" w:line="360" w:lineRule="auto"/>
        <w:ind w:firstLine="0"/>
        <w:rPr>
          <w:rFonts w:ascii="Times New Roman" w:hAnsi="Times New Roman" w:cs="Times New Roman"/>
          <w:b/>
          <w:szCs w:val="24"/>
        </w:rPr>
      </w:pPr>
      <w:r w:rsidRPr="00192DF5">
        <w:rPr>
          <w:rFonts w:ascii="Times New Roman" w:hAnsi="Times New Roman" w:cs="Times New Roman"/>
          <w:b/>
          <w:szCs w:val="24"/>
        </w:rPr>
        <w:t xml:space="preserve">Art. 5 (wejście w życie) </w:t>
      </w:r>
    </w:p>
    <w:p w14:paraId="1E127FF2" w14:textId="7DAB4A0D" w:rsidR="005F0841" w:rsidRPr="00192DF5" w:rsidRDefault="009B0249" w:rsidP="00192DF5">
      <w:pPr>
        <w:pStyle w:val="NIEARTTEKSTtekstnieartykuowanynppodstprawnarozplubpreambua"/>
        <w:spacing w:after="120" w:line="360" w:lineRule="auto"/>
        <w:rPr>
          <w:rFonts w:ascii="Times New Roman" w:hAnsi="Times New Roman" w:cs="Times New Roman"/>
          <w:szCs w:val="24"/>
        </w:rPr>
      </w:pPr>
      <w:r w:rsidRPr="00192DF5">
        <w:rPr>
          <w:rFonts w:ascii="Times New Roman" w:hAnsi="Times New Roman" w:cs="Times New Roman"/>
          <w:szCs w:val="24"/>
        </w:rPr>
        <w:t xml:space="preserve">Zakłada się, że projektowana ustawa wejdzie w życie </w:t>
      </w:r>
      <w:r w:rsidR="00D919D4" w:rsidRPr="00192DF5">
        <w:rPr>
          <w:rFonts w:ascii="Times New Roman" w:hAnsi="Times New Roman" w:cs="Times New Roman"/>
          <w:szCs w:val="24"/>
        </w:rPr>
        <w:t xml:space="preserve">z dniem </w:t>
      </w:r>
      <w:r w:rsidR="002410F5" w:rsidRPr="00192DF5">
        <w:rPr>
          <w:rFonts w:ascii="Times New Roman" w:hAnsi="Times New Roman" w:cs="Times New Roman"/>
          <w:szCs w:val="24"/>
        </w:rPr>
        <w:t xml:space="preserve">1 stycznia </w:t>
      </w:r>
      <w:r w:rsidR="003E0B3F" w:rsidRPr="00192DF5">
        <w:rPr>
          <w:rFonts w:ascii="Times New Roman" w:hAnsi="Times New Roman" w:cs="Times New Roman"/>
          <w:szCs w:val="24"/>
        </w:rPr>
        <w:t xml:space="preserve">2027 </w:t>
      </w:r>
      <w:r w:rsidR="002410F5" w:rsidRPr="00192DF5">
        <w:rPr>
          <w:rFonts w:ascii="Times New Roman" w:hAnsi="Times New Roman" w:cs="Times New Roman"/>
          <w:szCs w:val="24"/>
        </w:rPr>
        <w:t xml:space="preserve">r. </w:t>
      </w:r>
      <w:r w:rsidR="00007936" w:rsidRPr="00192DF5">
        <w:rPr>
          <w:rFonts w:ascii="Times New Roman" w:hAnsi="Times New Roman" w:cs="Times New Roman"/>
          <w:szCs w:val="24"/>
        </w:rPr>
        <w:t xml:space="preserve">Przewidziane w art. 5 </w:t>
      </w:r>
      <w:r w:rsidR="00007936" w:rsidRPr="00192DF5">
        <w:rPr>
          <w:rFonts w:ascii="Times New Roman" w:hAnsi="Times New Roman" w:cs="Times New Roman"/>
          <w:i/>
          <w:szCs w:val="24"/>
        </w:rPr>
        <w:t>vacatio</w:t>
      </w:r>
      <w:r w:rsidR="00007936" w:rsidRPr="00192DF5">
        <w:rPr>
          <w:rFonts w:ascii="Times New Roman" w:hAnsi="Times New Roman" w:cs="Times New Roman"/>
          <w:i/>
          <w:iCs/>
          <w:szCs w:val="24"/>
        </w:rPr>
        <w:t xml:space="preserve"> </w:t>
      </w:r>
      <w:r w:rsidR="00F72641" w:rsidRPr="00192DF5">
        <w:rPr>
          <w:rFonts w:ascii="Times New Roman" w:hAnsi="Times New Roman" w:cs="Times New Roman"/>
          <w:i/>
          <w:iCs/>
          <w:szCs w:val="24"/>
        </w:rPr>
        <w:t>legis</w:t>
      </w:r>
      <w:r w:rsidR="00F72641" w:rsidRPr="00192DF5">
        <w:rPr>
          <w:rFonts w:ascii="Times New Roman" w:hAnsi="Times New Roman" w:cs="Times New Roman"/>
          <w:szCs w:val="24"/>
        </w:rPr>
        <w:t xml:space="preserve"> </w:t>
      </w:r>
      <w:r w:rsidR="00007936" w:rsidRPr="00192DF5">
        <w:rPr>
          <w:rFonts w:ascii="Times New Roman" w:hAnsi="Times New Roman" w:cs="Times New Roman"/>
          <w:szCs w:val="24"/>
        </w:rPr>
        <w:t>umożliwia odpowiednie przygotowanie instytucji wdrażających, producentów oraz innych uczestników rynku audiowizualnego do nowych rozwiązań prawnych. Wybór początku roku budżetowego jako momentu wejścia w życie zmian zapewnia spójność z cyklem finansowania i rozliczania wydatków publicznych, co ułatwi stosowanie nowych regulacji oraz pozwoli na ich bezproblemową implementację.</w:t>
      </w:r>
    </w:p>
    <w:p w14:paraId="5634AEC0" w14:textId="013EB57A" w:rsidR="00BB42C2" w:rsidRPr="00192DF5" w:rsidRDefault="00007936" w:rsidP="00192DF5">
      <w:pPr>
        <w:spacing w:after="120" w:line="360" w:lineRule="auto"/>
        <w:jc w:val="both"/>
        <w:rPr>
          <w:rFonts w:ascii="Times New Roman" w:hAnsi="Times New Roman" w:cs="Times New Roman"/>
        </w:rPr>
      </w:pPr>
      <w:r w:rsidRPr="00192DF5">
        <w:rPr>
          <w:rFonts w:ascii="Times New Roman" w:hAnsi="Times New Roman" w:cs="Times New Roman"/>
          <w:b/>
        </w:rPr>
        <w:t xml:space="preserve">III. </w:t>
      </w:r>
      <w:r w:rsidR="00BB42C2" w:rsidRPr="00192DF5">
        <w:rPr>
          <w:rFonts w:ascii="Times New Roman" w:hAnsi="Times New Roman" w:cs="Times New Roman"/>
          <w:b/>
        </w:rPr>
        <w:t>Wyniki analizy możliwości osiągnięcia celu projektu za pomocą inny</w:t>
      </w:r>
      <w:r w:rsidR="00915CDF" w:rsidRPr="00192DF5">
        <w:rPr>
          <w:rFonts w:ascii="Times New Roman" w:hAnsi="Times New Roman" w:cs="Times New Roman"/>
          <w:b/>
        </w:rPr>
        <w:t>ch</w:t>
      </w:r>
      <w:r w:rsidR="00BB42C2" w:rsidRPr="00192DF5">
        <w:rPr>
          <w:rFonts w:ascii="Times New Roman" w:hAnsi="Times New Roman" w:cs="Times New Roman"/>
          <w:b/>
        </w:rPr>
        <w:t xml:space="preserve"> środk</w:t>
      </w:r>
      <w:r w:rsidR="00915CDF" w:rsidRPr="00192DF5">
        <w:rPr>
          <w:rFonts w:ascii="Times New Roman" w:hAnsi="Times New Roman" w:cs="Times New Roman"/>
          <w:b/>
        </w:rPr>
        <w:t>ów</w:t>
      </w:r>
      <w:r w:rsidR="00E87A50" w:rsidRPr="00192DF5">
        <w:rPr>
          <w:rFonts w:ascii="Times New Roman" w:hAnsi="Times New Roman" w:cs="Times New Roman"/>
          <w:b/>
        </w:rPr>
        <w:t xml:space="preserve"> </w:t>
      </w:r>
      <w:r w:rsidR="00BB42C2" w:rsidRPr="00192DF5">
        <w:rPr>
          <w:rFonts w:ascii="Times New Roman" w:hAnsi="Times New Roman" w:cs="Times New Roman"/>
          <w:b/>
        </w:rPr>
        <w:t>oraz ocen</w:t>
      </w:r>
      <w:r w:rsidR="00F72641" w:rsidRPr="00192DF5">
        <w:rPr>
          <w:rFonts w:ascii="Times New Roman" w:hAnsi="Times New Roman" w:cs="Times New Roman"/>
          <w:b/>
        </w:rPr>
        <w:t>y</w:t>
      </w:r>
      <w:r w:rsidR="00BB42C2" w:rsidRPr="00192DF5">
        <w:rPr>
          <w:rFonts w:ascii="Times New Roman" w:hAnsi="Times New Roman" w:cs="Times New Roman"/>
          <w:b/>
        </w:rPr>
        <w:t xml:space="preserve"> przewidywanych skutków społeczno-gospodarczych</w:t>
      </w:r>
      <w:r w:rsidR="00F72641" w:rsidRPr="00192DF5">
        <w:rPr>
          <w:rFonts w:ascii="Times New Roman" w:hAnsi="Times New Roman" w:cs="Times New Roman"/>
          <w:b/>
        </w:rPr>
        <w:t>,</w:t>
      </w:r>
      <w:r w:rsidR="00BB42C2" w:rsidRPr="00192DF5">
        <w:rPr>
          <w:rFonts w:ascii="Times New Roman" w:hAnsi="Times New Roman" w:cs="Times New Roman"/>
          <w:b/>
        </w:rPr>
        <w:t xml:space="preserve"> w tym ocen</w:t>
      </w:r>
      <w:r w:rsidR="00F72641" w:rsidRPr="00192DF5">
        <w:rPr>
          <w:rFonts w:ascii="Times New Roman" w:hAnsi="Times New Roman" w:cs="Times New Roman"/>
          <w:b/>
        </w:rPr>
        <w:t>y</w:t>
      </w:r>
      <w:r w:rsidR="00BB42C2" w:rsidRPr="00192DF5">
        <w:rPr>
          <w:rFonts w:ascii="Times New Roman" w:hAnsi="Times New Roman" w:cs="Times New Roman"/>
          <w:b/>
        </w:rPr>
        <w:t xml:space="preserve"> wpływu na </w:t>
      </w:r>
      <w:proofErr w:type="spellStart"/>
      <w:r w:rsidR="00BB42C2" w:rsidRPr="00192DF5">
        <w:rPr>
          <w:rFonts w:ascii="Times New Roman" w:hAnsi="Times New Roman" w:cs="Times New Roman"/>
          <w:b/>
        </w:rPr>
        <w:t>mikroprzedsiębiorców</w:t>
      </w:r>
      <w:proofErr w:type="spellEnd"/>
      <w:r w:rsidR="00BB42C2" w:rsidRPr="00192DF5">
        <w:rPr>
          <w:rFonts w:ascii="Times New Roman" w:hAnsi="Times New Roman" w:cs="Times New Roman"/>
          <w:b/>
        </w:rPr>
        <w:t>, małych i średnich przedsiębiorców oraz analiz</w:t>
      </w:r>
      <w:r w:rsidR="00F72641" w:rsidRPr="00192DF5">
        <w:rPr>
          <w:rFonts w:ascii="Times New Roman" w:hAnsi="Times New Roman" w:cs="Times New Roman"/>
          <w:b/>
        </w:rPr>
        <w:t>y</w:t>
      </w:r>
      <w:r w:rsidR="00BB42C2" w:rsidRPr="00192DF5">
        <w:rPr>
          <w:rFonts w:ascii="Times New Roman" w:hAnsi="Times New Roman" w:cs="Times New Roman"/>
          <w:b/>
        </w:rPr>
        <w:t xml:space="preserve"> zgodności projektowanych regulacji z przepisami ustawy </w:t>
      </w:r>
      <w:r w:rsidR="00F72641" w:rsidRPr="00192DF5">
        <w:rPr>
          <w:rFonts w:ascii="Times New Roman" w:hAnsi="Times New Roman" w:cs="Times New Roman"/>
          <w:b/>
        </w:rPr>
        <w:t xml:space="preserve">z dnia </w:t>
      </w:r>
      <w:r w:rsidR="00550DE6" w:rsidRPr="00192DF5">
        <w:rPr>
          <w:rFonts w:ascii="Times New Roman" w:hAnsi="Times New Roman" w:cs="Times New Roman"/>
          <w:b/>
        </w:rPr>
        <w:t>6 marca 2018 r.</w:t>
      </w:r>
      <w:r w:rsidR="00BB42C2" w:rsidRPr="00192DF5">
        <w:rPr>
          <w:rFonts w:ascii="Times New Roman" w:hAnsi="Times New Roman" w:cs="Times New Roman"/>
          <w:b/>
        </w:rPr>
        <w:t xml:space="preserve"> – </w:t>
      </w:r>
      <w:r w:rsidR="00550DE6" w:rsidRPr="00192DF5">
        <w:rPr>
          <w:rFonts w:ascii="Times New Roman" w:hAnsi="Times New Roman" w:cs="Times New Roman"/>
          <w:b/>
        </w:rPr>
        <w:t>P</w:t>
      </w:r>
      <w:r w:rsidR="00BB42C2" w:rsidRPr="00192DF5">
        <w:rPr>
          <w:rFonts w:ascii="Times New Roman" w:hAnsi="Times New Roman" w:cs="Times New Roman"/>
          <w:b/>
        </w:rPr>
        <w:t>rawo przedsiębiorców</w:t>
      </w:r>
      <w:r w:rsidR="00550DE6" w:rsidRPr="00192DF5">
        <w:rPr>
          <w:rFonts w:ascii="Times New Roman" w:hAnsi="Times New Roman" w:cs="Times New Roman"/>
          <w:b/>
        </w:rPr>
        <w:t xml:space="preserve"> (Dz. U. z 2025 r. poz. 1480</w:t>
      </w:r>
      <w:r w:rsidR="00E06624" w:rsidRPr="00192DF5">
        <w:rPr>
          <w:rFonts w:ascii="Times New Roman" w:hAnsi="Times New Roman" w:cs="Times New Roman"/>
          <w:b/>
        </w:rPr>
        <w:t xml:space="preserve">, z </w:t>
      </w:r>
      <w:proofErr w:type="spellStart"/>
      <w:r w:rsidR="00E06624" w:rsidRPr="00192DF5">
        <w:rPr>
          <w:rFonts w:ascii="Times New Roman" w:hAnsi="Times New Roman" w:cs="Times New Roman"/>
          <w:b/>
        </w:rPr>
        <w:t>późn</w:t>
      </w:r>
      <w:proofErr w:type="spellEnd"/>
      <w:r w:rsidR="00E06624" w:rsidRPr="00192DF5">
        <w:rPr>
          <w:rFonts w:ascii="Times New Roman" w:hAnsi="Times New Roman" w:cs="Times New Roman"/>
          <w:b/>
        </w:rPr>
        <w:t>. zm.</w:t>
      </w:r>
      <w:r w:rsidR="00BB42C2" w:rsidRPr="00192DF5">
        <w:rPr>
          <w:rFonts w:ascii="Times New Roman" w:hAnsi="Times New Roman" w:cs="Times New Roman"/>
          <w:b/>
        </w:rPr>
        <w:t>).</w:t>
      </w:r>
    </w:p>
    <w:p w14:paraId="3E20D91C"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1. Analiza alternatywnych środków osiągnięcia celu</w:t>
      </w:r>
    </w:p>
    <w:p w14:paraId="0D35ED74" w14:textId="2C375736"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Celem projekt</w:t>
      </w:r>
      <w:r w:rsidR="00550DE6" w:rsidRPr="00192DF5">
        <w:rPr>
          <w:rFonts w:ascii="Times New Roman" w:hAnsi="Times New Roman" w:cs="Times New Roman"/>
        </w:rPr>
        <w:t>u</w:t>
      </w:r>
      <w:r w:rsidRPr="00192DF5">
        <w:rPr>
          <w:rFonts w:ascii="Times New Roman" w:hAnsi="Times New Roman" w:cs="Times New Roman"/>
        </w:rPr>
        <w:t xml:space="preserve"> ustawy jest uproszczenie i doprecyzowanie procedur związanych z udzielaniem wsparcia finansowego dla produkcji audiowizualnych oraz zwiększenie płynności finansowej producentów.</w:t>
      </w:r>
    </w:p>
    <w:p w14:paraId="68E32C4B"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W toku analizy rozważono trzy możliwe warianty działań:</w:t>
      </w:r>
    </w:p>
    <w:p w14:paraId="6E271914"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Wariant 1 – utrzymanie stanu obecnego (brak zmian legislacyjnych)</w:t>
      </w:r>
    </w:p>
    <w:p w14:paraId="6CF9FA51"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Pozostawienie dotychczasowych regulacji prowadziłoby do utrzymywania się barier administracyjnych, ograniczania efektywności wydatkowania środków publicznych oraz blokowania ich przez projekty niezrealizowane. W konsekwencji spadłaby liczba beneficjentów systemu wsparcia, a realizacja celu publicznego w postaci wzmacniania polskiej branży audiowizualnej byłaby utrudniona.</w:t>
      </w:r>
    </w:p>
    <w:p w14:paraId="4D04DE8D"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 xml:space="preserve">Wariant 2 – działania </w:t>
      </w:r>
      <w:proofErr w:type="spellStart"/>
      <w:r w:rsidRPr="00192DF5">
        <w:rPr>
          <w:rFonts w:ascii="Times New Roman" w:hAnsi="Times New Roman" w:cs="Times New Roman"/>
        </w:rPr>
        <w:t>pozalegislacyjne</w:t>
      </w:r>
      <w:proofErr w:type="spellEnd"/>
      <w:r w:rsidRPr="00192DF5">
        <w:rPr>
          <w:rFonts w:ascii="Times New Roman" w:hAnsi="Times New Roman" w:cs="Times New Roman"/>
        </w:rPr>
        <w:t xml:space="preserve"> (np. wytyczne, regulaminy, interpretacje)</w:t>
      </w:r>
    </w:p>
    <w:p w14:paraId="4EDA9B11" w14:textId="086ABEF9"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Rozważono możliwość wprowadzenia zmian w drodze działań administracyjnych lub regulaminowych. Ze</w:t>
      </w:r>
      <w:r w:rsidR="00F800BB" w:rsidRPr="00192DF5">
        <w:rPr>
          <w:rFonts w:ascii="Times New Roman" w:hAnsi="Times New Roman" w:cs="Times New Roman"/>
        </w:rPr>
        <w:t> </w:t>
      </w:r>
      <w:r w:rsidRPr="00192DF5">
        <w:rPr>
          <w:rFonts w:ascii="Times New Roman" w:hAnsi="Times New Roman" w:cs="Times New Roman"/>
        </w:rPr>
        <w:t xml:space="preserve">względu na charakter zmian – dotyczących terminów składania i rozpatrywania wniosków, procedur finansowych oraz obowiązków sprawozdawczych – rozwiązania te nie zapewniłyby wystarczającej mocy prawnej i stabilności. Zmiany ingerują </w:t>
      </w:r>
      <w:r w:rsidRPr="00192DF5">
        <w:rPr>
          <w:rFonts w:ascii="Times New Roman" w:hAnsi="Times New Roman" w:cs="Times New Roman"/>
        </w:rPr>
        <w:lastRenderedPageBreak/>
        <w:t>bowiem w obowiązki i uprawnienia podmiotów zewnętrznych, co</w:t>
      </w:r>
      <w:r w:rsidR="00F800BB" w:rsidRPr="00192DF5">
        <w:rPr>
          <w:rFonts w:ascii="Times New Roman" w:hAnsi="Times New Roman" w:cs="Times New Roman"/>
        </w:rPr>
        <w:t> </w:t>
      </w:r>
      <w:r w:rsidRPr="00192DF5">
        <w:rPr>
          <w:rFonts w:ascii="Times New Roman" w:hAnsi="Times New Roman" w:cs="Times New Roman"/>
        </w:rPr>
        <w:t>wymaga uregulowania ustawowego.</w:t>
      </w:r>
    </w:p>
    <w:p w14:paraId="337BBED5"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Wariant 3 – deregulacja ustawowa (wariant przyjęty)</w:t>
      </w:r>
    </w:p>
    <w:p w14:paraId="2D54BB2F" w14:textId="022D152D"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 xml:space="preserve">Wprowadzenie kompleksowych zmian w ustawie </w:t>
      </w:r>
      <w:r w:rsidR="00550DE6" w:rsidRPr="00192DF5">
        <w:rPr>
          <w:rFonts w:ascii="Times New Roman" w:hAnsi="Times New Roman" w:cs="Times New Roman"/>
        </w:rPr>
        <w:t xml:space="preserve">z dnia 9 listopada 2018 r. </w:t>
      </w:r>
      <w:r w:rsidRPr="00192DF5">
        <w:rPr>
          <w:rFonts w:ascii="Times New Roman" w:hAnsi="Times New Roman" w:cs="Times New Roman"/>
        </w:rPr>
        <w:t xml:space="preserve">o finansowym wspieraniu produkcji audiowizualnej, obejmujących skrócenie i ujednolicenie terminów, doprecyzowanie zasad składania wniosków, umożliwienie cesji promesy na banki oraz ograniczenie obowiązków sprawozdawczych. Wariant ten zapewnia trwałość i spójność systemu oraz realizuje zasadę proporcjonalności wynikającą z art. </w:t>
      </w:r>
      <w:r w:rsidR="00B97605" w:rsidRPr="00192DF5">
        <w:rPr>
          <w:rFonts w:ascii="Times New Roman" w:hAnsi="Times New Roman" w:cs="Times New Roman"/>
        </w:rPr>
        <w:t>12</w:t>
      </w:r>
      <w:r w:rsidRPr="00192DF5">
        <w:rPr>
          <w:rFonts w:ascii="Times New Roman" w:hAnsi="Times New Roman" w:cs="Times New Roman"/>
        </w:rPr>
        <w:t xml:space="preserve"> ustawy </w:t>
      </w:r>
      <w:r w:rsidR="00550DE6" w:rsidRPr="00192DF5">
        <w:rPr>
          <w:rFonts w:ascii="Times New Roman" w:hAnsi="Times New Roman" w:cs="Times New Roman"/>
        </w:rPr>
        <w:t xml:space="preserve">z dnia 6 marca 2018 r. </w:t>
      </w:r>
      <w:r w:rsidRPr="00192DF5">
        <w:rPr>
          <w:rFonts w:ascii="Times New Roman" w:hAnsi="Times New Roman" w:cs="Times New Roman"/>
        </w:rPr>
        <w:t>– Prawo przedsiębiorców.</w:t>
      </w:r>
    </w:p>
    <w:p w14:paraId="269DD0B1"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W świetle powyższego uznano, że cele projektu ustawy nie mogłyby zostać osiągnięte w sposób równie skuteczny innymi środkami niż zmiana ustawowa.</w:t>
      </w:r>
    </w:p>
    <w:p w14:paraId="0F5BEF3E"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 xml:space="preserve">2. Ocena przewidywanych skutków społeczno-gospodarczych </w:t>
      </w:r>
    </w:p>
    <w:p w14:paraId="54F5E84D" w14:textId="1692141A"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Projekt ustawy będzie miał korzystny wpływ na gospodarkę, przedsiębiorców oraz sektor kultury i</w:t>
      </w:r>
      <w:r w:rsidR="00F800BB" w:rsidRPr="00192DF5">
        <w:rPr>
          <w:rFonts w:ascii="Times New Roman" w:hAnsi="Times New Roman" w:cs="Times New Roman"/>
        </w:rPr>
        <w:t> </w:t>
      </w:r>
      <w:r w:rsidRPr="00192DF5">
        <w:rPr>
          <w:rFonts w:ascii="Times New Roman" w:hAnsi="Times New Roman" w:cs="Times New Roman"/>
        </w:rPr>
        <w:t>audiowizualny, przy jednoczesnym neutralnym wpływie na budżet państwa.</w:t>
      </w:r>
    </w:p>
    <w:p w14:paraId="78DDB673"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a) Wpływ na przedsiębiorców</w:t>
      </w:r>
    </w:p>
    <w:p w14:paraId="6CAD49DE"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Poprawa płynności finansowej – umożliwienie cesji wierzytelności z promesy wsparcia na rzecz banku zwiększy dostęp producentów do finansowania produkcji.</w:t>
      </w:r>
    </w:p>
    <w:p w14:paraId="4EF7BFA9" w14:textId="7D19D820"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Zwiększenie przewidywalności procedur – wprowadzenie dwóch naborów rocznie oraz terminu 40 dni na</w:t>
      </w:r>
      <w:r w:rsidR="00F800BB" w:rsidRPr="00192DF5">
        <w:rPr>
          <w:rFonts w:ascii="Times New Roman" w:hAnsi="Times New Roman" w:cs="Times New Roman"/>
        </w:rPr>
        <w:t> </w:t>
      </w:r>
      <w:r w:rsidRPr="00192DF5">
        <w:rPr>
          <w:rFonts w:ascii="Times New Roman" w:hAnsi="Times New Roman" w:cs="Times New Roman"/>
        </w:rPr>
        <w:t>rozpatrzenie wniosku ułatwi planowanie działalności gospodarczej.</w:t>
      </w:r>
    </w:p>
    <w:p w14:paraId="11809389"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Ograniczenie kosztów administracyjnych – uproszczenie obowiązków sprawozdawczych i procedur korekty wniosku pozwoli przedsiębiorcom skoncentrować zasoby na działalności twórczej.</w:t>
      </w:r>
    </w:p>
    <w:p w14:paraId="0CA899C8"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Zwiększenie konkurencyjności branży – bardziej elastyczny system wsparcia pozwoli na skuteczniejsze konkurowanie z krajami o podobnych systemach zachęt (Czechy, Węgry).</w:t>
      </w:r>
    </w:p>
    <w:p w14:paraId="3B204B2C"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b) Wpływ społeczny</w:t>
      </w:r>
    </w:p>
    <w:p w14:paraId="60F0B5B1"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Wzrost zatrudnienia w sektorze kreatywnym – każda wsparta produkcja generuje średnio 200 miejsc pracy.</w:t>
      </w:r>
    </w:p>
    <w:p w14:paraId="0D7737EC"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Rozwój kompetencji zawodowych – zwiększenie liczby produkcji sprzyja rozwojowi specjalistycznych zawodów filmowych i technicznych.</w:t>
      </w:r>
    </w:p>
    <w:p w14:paraId="31A90C70"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lastRenderedPageBreak/>
        <w:t>Wzmocnienie wizerunku Polski – uatrakcyjnienie systemu zachęt finansowych podnosi pozycję Polski jako miejsca realizacji międzynarodowych produkcji audiowizualnych.</w:t>
      </w:r>
    </w:p>
    <w:p w14:paraId="3D4EE4E7"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c) Wpływ na finanse publiczne</w:t>
      </w:r>
    </w:p>
    <w:p w14:paraId="16B03EF2" w14:textId="63853AAF"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 xml:space="preserve">Projekt jest neutralny dla budżetu państwa w krótkim okresie. W dłuższej perspektywie </w:t>
      </w:r>
      <w:r w:rsidR="00550DE6" w:rsidRPr="00192DF5">
        <w:rPr>
          <w:rFonts w:ascii="Times New Roman" w:hAnsi="Times New Roman" w:cs="Times New Roman"/>
        </w:rPr>
        <w:t xml:space="preserve">jest </w:t>
      </w:r>
      <w:r w:rsidRPr="00192DF5">
        <w:rPr>
          <w:rFonts w:ascii="Times New Roman" w:hAnsi="Times New Roman" w:cs="Times New Roman"/>
        </w:rPr>
        <w:t>przewidywany pozytywny efekt fiskalny, wynikający z większej aktywności inwestycyjnej, wzrostu zatrudnienia i wpływów z podatków. Zmiany nie zwiększają limitu wydatków publicznych, a jedynie usprawniają ich wykorzystanie.</w:t>
      </w:r>
    </w:p>
    <w:p w14:paraId="026B9944" w14:textId="77777777"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d) Wpływ na administrację publiczną</w:t>
      </w:r>
    </w:p>
    <w:p w14:paraId="74E386E3" w14:textId="6593766A"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 xml:space="preserve">Projekt </w:t>
      </w:r>
      <w:r w:rsidR="00550DE6" w:rsidRPr="00192DF5">
        <w:rPr>
          <w:rFonts w:ascii="Times New Roman" w:hAnsi="Times New Roman" w:cs="Times New Roman"/>
        </w:rPr>
        <w:t xml:space="preserve">ustawy </w:t>
      </w:r>
      <w:r w:rsidRPr="00192DF5">
        <w:rPr>
          <w:rFonts w:ascii="Times New Roman" w:hAnsi="Times New Roman" w:cs="Times New Roman"/>
        </w:rPr>
        <w:t xml:space="preserve">nie powoduje konieczności tworzenia nowych instytucji ani etatów. Wprowadzone zmiany organizacyjne poprawią efektywność działania PISF, </w:t>
      </w:r>
      <w:r w:rsidR="00550DE6" w:rsidRPr="00192DF5">
        <w:rPr>
          <w:rFonts w:ascii="Times New Roman" w:hAnsi="Times New Roman" w:cs="Times New Roman"/>
        </w:rPr>
        <w:t>dzięki</w:t>
      </w:r>
      <w:r w:rsidRPr="00192DF5">
        <w:rPr>
          <w:rFonts w:ascii="Times New Roman" w:hAnsi="Times New Roman" w:cs="Times New Roman"/>
        </w:rPr>
        <w:t xml:space="preserve"> równomierne</w:t>
      </w:r>
      <w:r w:rsidR="00550DE6" w:rsidRPr="00192DF5">
        <w:rPr>
          <w:rFonts w:ascii="Times New Roman" w:hAnsi="Times New Roman" w:cs="Times New Roman"/>
        </w:rPr>
        <w:t>mu</w:t>
      </w:r>
      <w:r w:rsidRPr="00192DF5">
        <w:rPr>
          <w:rFonts w:ascii="Times New Roman" w:hAnsi="Times New Roman" w:cs="Times New Roman"/>
        </w:rPr>
        <w:t xml:space="preserve"> rozłożeni</w:t>
      </w:r>
      <w:r w:rsidR="00550DE6" w:rsidRPr="00192DF5">
        <w:rPr>
          <w:rFonts w:ascii="Times New Roman" w:hAnsi="Times New Roman" w:cs="Times New Roman"/>
        </w:rPr>
        <w:t>u</w:t>
      </w:r>
      <w:r w:rsidRPr="00192DF5">
        <w:rPr>
          <w:rFonts w:ascii="Times New Roman" w:hAnsi="Times New Roman" w:cs="Times New Roman"/>
        </w:rPr>
        <w:t xml:space="preserve"> obciążenia pracą w ciągu roku i uproszczeni</w:t>
      </w:r>
      <w:r w:rsidR="00550DE6" w:rsidRPr="00192DF5">
        <w:rPr>
          <w:rFonts w:ascii="Times New Roman" w:hAnsi="Times New Roman" w:cs="Times New Roman"/>
        </w:rPr>
        <w:t>u</w:t>
      </w:r>
      <w:r w:rsidRPr="00192DF5">
        <w:rPr>
          <w:rFonts w:ascii="Times New Roman" w:hAnsi="Times New Roman" w:cs="Times New Roman"/>
        </w:rPr>
        <w:t xml:space="preserve"> procedur weryfikacji wniosków.</w:t>
      </w:r>
    </w:p>
    <w:p w14:paraId="57BAB3B8" w14:textId="788B6DB3"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 xml:space="preserve">3. Analiza zgodności z przepisami ustawy </w:t>
      </w:r>
      <w:r w:rsidR="00550DE6" w:rsidRPr="00192DF5">
        <w:rPr>
          <w:rFonts w:ascii="Times New Roman" w:hAnsi="Times New Roman" w:cs="Times New Roman"/>
        </w:rPr>
        <w:t xml:space="preserve">z dnia 6 marca 2018 r. </w:t>
      </w:r>
      <w:r w:rsidRPr="00192DF5">
        <w:rPr>
          <w:rFonts w:ascii="Times New Roman" w:hAnsi="Times New Roman" w:cs="Times New Roman"/>
        </w:rPr>
        <w:t>– Prawo przedsiębiorców</w:t>
      </w:r>
    </w:p>
    <w:p w14:paraId="308D70FD" w14:textId="7BD9857D"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 xml:space="preserve">Projekt pozostaje w zgodzie z zasadami określonymi w ustawie z dnia 6 marca 2018 r. – Prawo przedsiębiorców, w szczególności z zasadami przyjaznej interpretacji przepisów prawa gospodarczego (art. 8), zasadą proporcjonalności i ograniczania obciążeń administracyjnych do niezbędnego minimum (art. </w:t>
      </w:r>
      <w:r w:rsidR="00A7331A" w:rsidRPr="00192DF5">
        <w:rPr>
          <w:rFonts w:ascii="Times New Roman" w:hAnsi="Times New Roman" w:cs="Times New Roman"/>
        </w:rPr>
        <w:t>12</w:t>
      </w:r>
      <w:r w:rsidRPr="00192DF5">
        <w:rPr>
          <w:rFonts w:ascii="Times New Roman" w:hAnsi="Times New Roman" w:cs="Times New Roman"/>
        </w:rPr>
        <w:t>), zasadą stabilności i pewności otoczenia prawnego przedsiębiorców (art. 10) oraz zasadą zaufania do państwa i stanowionego przez nie prawa (art. 12).</w:t>
      </w:r>
    </w:p>
    <w:p w14:paraId="3D3456E7" w14:textId="62E31933"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Projektowane przepisy są niezbędne dla realizacji celów publicznych, przy zachowaniu równowagi między interesem przedsiębiorców a interesem publicznym.</w:t>
      </w:r>
    </w:p>
    <w:p w14:paraId="1BF6B037" w14:textId="72C4BAA5" w:rsidR="00BB42C2" w:rsidRPr="00192DF5" w:rsidRDefault="00BB42C2" w:rsidP="00192DF5">
      <w:pPr>
        <w:spacing w:after="120" w:line="360" w:lineRule="auto"/>
        <w:jc w:val="both"/>
        <w:rPr>
          <w:rFonts w:ascii="Times New Roman" w:hAnsi="Times New Roman" w:cs="Times New Roman"/>
          <w:b/>
        </w:rPr>
      </w:pPr>
      <w:r w:rsidRPr="00192DF5">
        <w:rPr>
          <w:rFonts w:ascii="Times New Roman" w:hAnsi="Times New Roman" w:cs="Times New Roman"/>
          <w:b/>
        </w:rPr>
        <w:t>IV. Ograniczenie obowiązków administracyjnych wobec przedsiębiorców</w:t>
      </w:r>
      <w:r w:rsidR="00531536" w:rsidRPr="00192DF5">
        <w:rPr>
          <w:rFonts w:ascii="Times New Roman" w:hAnsi="Times New Roman" w:cs="Times New Roman"/>
          <w:b/>
        </w:rPr>
        <w:t xml:space="preserve"> (art. 68 ustawy</w:t>
      </w:r>
      <w:r w:rsidR="00BD1E73" w:rsidRPr="00192DF5">
        <w:rPr>
          <w:rFonts w:ascii="Times New Roman" w:hAnsi="Times New Roman" w:cs="Times New Roman"/>
          <w:b/>
        </w:rPr>
        <w:t xml:space="preserve"> z dnia 6 marca 2018 r.</w:t>
      </w:r>
      <w:r w:rsidR="00531536" w:rsidRPr="00192DF5">
        <w:rPr>
          <w:rFonts w:ascii="Times New Roman" w:hAnsi="Times New Roman" w:cs="Times New Roman"/>
          <w:b/>
        </w:rPr>
        <w:t xml:space="preserve"> – </w:t>
      </w:r>
      <w:r w:rsidR="00BD1E73" w:rsidRPr="00192DF5">
        <w:rPr>
          <w:rFonts w:ascii="Times New Roman" w:hAnsi="Times New Roman" w:cs="Times New Roman"/>
          <w:b/>
        </w:rPr>
        <w:t>P</w:t>
      </w:r>
      <w:r w:rsidR="00531536" w:rsidRPr="00192DF5">
        <w:rPr>
          <w:rFonts w:ascii="Times New Roman" w:hAnsi="Times New Roman" w:cs="Times New Roman"/>
          <w:b/>
        </w:rPr>
        <w:t xml:space="preserve">rawo </w:t>
      </w:r>
      <w:r w:rsidRPr="00192DF5">
        <w:rPr>
          <w:rFonts w:ascii="Times New Roman" w:hAnsi="Times New Roman" w:cs="Times New Roman"/>
          <w:b/>
        </w:rPr>
        <w:t>przedsiębiorców)</w:t>
      </w:r>
    </w:p>
    <w:p w14:paraId="61D2EEB7" w14:textId="20478DE1"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Projekt ustawy wprowadza rozwiązania mające na celu ograniczenie obowiązków administracyjnych, przy jednoczesnym zapewnieniu przejrzystości i kontroli wydatkowania środków publicznych. W</w:t>
      </w:r>
      <w:r w:rsidR="00F800BB" w:rsidRPr="00192DF5">
        <w:rPr>
          <w:rFonts w:ascii="Times New Roman" w:hAnsi="Times New Roman" w:cs="Times New Roman"/>
        </w:rPr>
        <w:t> </w:t>
      </w:r>
      <w:r w:rsidRPr="00192DF5">
        <w:rPr>
          <w:rFonts w:ascii="Times New Roman" w:hAnsi="Times New Roman" w:cs="Times New Roman"/>
        </w:rPr>
        <w:t xml:space="preserve">szczególności: skrócono i ujednolicono terminy procedur – z 12 do 6 miesięcy, co eliminuje konieczność ponownego składania dokumentacji; wprowadzono możliwość korekty kosztorysu bez konieczności odrzucania całego wniosku; zmniejszono częstotliwość przekazywania danych frekwencyjnych przez kina; umożliwiono cesję wierzytelności na rzecz banku, co ogranicza liczbę wniosków o zaliczki; wydłużono termin </w:t>
      </w:r>
      <w:r w:rsidRPr="00192DF5">
        <w:rPr>
          <w:rFonts w:ascii="Times New Roman" w:hAnsi="Times New Roman" w:cs="Times New Roman"/>
        </w:rPr>
        <w:lastRenderedPageBreak/>
        <w:t>przekazania kopii filmu do archiwum z 30 do 60 dni; skrócono procedury decyzyjne w</w:t>
      </w:r>
      <w:r w:rsidR="00F800BB" w:rsidRPr="00192DF5">
        <w:rPr>
          <w:rFonts w:ascii="Times New Roman" w:hAnsi="Times New Roman" w:cs="Times New Roman"/>
        </w:rPr>
        <w:t> </w:t>
      </w:r>
      <w:r w:rsidRPr="00192DF5">
        <w:rPr>
          <w:rFonts w:ascii="Times New Roman" w:hAnsi="Times New Roman" w:cs="Times New Roman"/>
        </w:rPr>
        <w:t xml:space="preserve">zakresie zmian planu finansowego </w:t>
      </w:r>
      <w:r w:rsidR="00BD1E73" w:rsidRPr="00192DF5">
        <w:rPr>
          <w:rFonts w:ascii="Times New Roman" w:hAnsi="Times New Roman" w:cs="Times New Roman"/>
        </w:rPr>
        <w:t>PISF</w:t>
      </w:r>
      <w:r w:rsidRPr="00192DF5">
        <w:rPr>
          <w:rFonts w:ascii="Times New Roman" w:hAnsi="Times New Roman" w:cs="Times New Roman"/>
        </w:rPr>
        <w:t>.</w:t>
      </w:r>
    </w:p>
    <w:p w14:paraId="741CE048" w14:textId="741AA8B5"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Zakres deregulacji jest proporcjonalny – zmniejsza biurokrację i obciążenia, przy jednoczesnym zachowaniu mechanizmów kontrolnych niezbędnych dla ochrony środków publicznych oraz zgodności z</w:t>
      </w:r>
      <w:r w:rsidR="00F800BB" w:rsidRPr="00192DF5">
        <w:rPr>
          <w:rFonts w:ascii="Times New Roman" w:hAnsi="Times New Roman" w:cs="Times New Roman"/>
        </w:rPr>
        <w:t> </w:t>
      </w:r>
      <w:r w:rsidRPr="00192DF5">
        <w:rPr>
          <w:rFonts w:ascii="Times New Roman" w:hAnsi="Times New Roman" w:cs="Times New Roman"/>
        </w:rPr>
        <w:t>prawem Unii Europejskiej w zakresie pomocy publicznej.</w:t>
      </w:r>
    </w:p>
    <w:p w14:paraId="46C32E3F" w14:textId="3B659487" w:rsidR="005F0841" w:rsidRPr="00192DF5" w:rsidRDefault="00BB42C2" w:rsidP="00192DF5">
      <w:pPr>
        <w:pStyle w:val="NIEARTTEKSTtekstnieartykuowanynppodstprawnarozplubpreambua"/>
        <w:spacing w:before="0" w:after="120" w:line="360" w:lineRule="auto"/>
        <w:ind w:firstLine="0"/>
        <w:rPr>
          <w:rFonts w:ascii="Times New Roman" w:hAnsi="Times New Roman" w:cs="Times New Roman"/>
          <w:b/>
          <w:szCs w:val="24"/>
        </w:rPr>
      </w:pPr>
      <w:r w:rsidRPr="00192DF5">
        <w:rPr>
          <w:rFonts w:ascii="Times New Roman" w:hAnsi="Times New Roman" w:cs="Times New Roman"/>
          <w:b/>
          <w:szCs w:val="24"/>
        </w:rPr>
        <w:t xml:space="preserve">V. </w:t>
      </w:r>
      <w:r w:rsidR="00007936" w:rsidRPr="00192DF5">
        <w:rPr>
          <w:rFonts w:ascii="Times New Roman" w:hAnsi="Times New Roman" w:cs="Times New Roman"/>
          <w:b/>
          <w:szCs w:val="24"/>
        </w:rPr>
        <w:t>Podsumowanie</w:t>
      </w:r>
    </w:p>
    <w:p w14:paraId="72BA3176" w14:textId="3DC71BE5" w:rsidR="00BB42C2" w:rsidRPr="00192DF5" w:rsidRDefault="00BB42C2" w:rsidP="00192DF5">
      <w:pPr>
        <w:spacing w:after="120" w:line="360" w:lineRule="auto"/>
        <w:jc w:val="both"/>
        <w:rPr>
          <w:rFonts w:ascii="Times New Roman" w:hAnsi="Times New Roman" w:cs="Times New Roman"/>
        </w:rPr>
      </w:pPr>
      <w:r w:rsidRPr="00192DF5">
        <w:rPr>
          <w:rFonts w:ascii="Times New Roman" w:hAnsi="Times New Roman" w:cs="Times New Roman"/>
        </w:rPr>
        <w:t>Przyjęcie projektowanej ustawy doprowadzi do zwiększenia efektywności systemu finansowego wspierania produkcji audiowizualnej, ograniczenia kosztów i barier administracyjnych, wzmocnienia konkurencyjności sektora kreatywnego oraz zapewnienia stabilnych i przejrzystych warunków dla</w:t>
      </w:r>
      <w:r w:rsidR="00F800BB" w:rsidRPr="00192DF5">
        <w:rPr>
          <w:rFonts w:ascii="Times New Roman" w:hAnsi="Times New Roman" w:cs="Times New Roman"/>
        </w:rPr>
        <w:t> </w:t>
      </w:r>
      <w:r w:rsidRPr="00192DF5">
        <w:rPr>
          <w:rFonts w:ascii="Times New Roman" w:hAnsi="Times New Roman" w:cs="Times New Roman"/>
        </w:rPr>
        <w:t>przedsiębiorców działających w tej branży.</w:t>
      </w:r>
    </w:p>
    <w:p w14:paraId="48D1FDBA" w14:textId="1E3AF496" w:rsidR="005F0841" w:rsidRPr="00192DF5" w:rsidRDefault="00007936" w:rsidP="00192DF5">
      <w:pPr>
        <w:spacing w:after="120" w:line="360" w:lineRule="auto"/>
        <w:jc w:val="both"/>
        <w:rPr>
          <w:rFonts w:ascii="Times New Roman" w:eastAsia="Times New Roman" w:hAnsi="Times New Roman" w:cs="Times New Roman"/>
          <w:lang w:eastAsia="pl-PL"/>
        </w:rPr>
      </w:pPr>
      <w:r w:rsidRPr="00192DF5">
        <w:rPr>
          <w:rFonts w:ascii="Times New Roman" w:eastAsia="Times New Roman" w:hAnsi="Times New Roman" w:cs="Times New Roman"/>
          <w:lang w:eastAsia="pl-PL"/>
        </w:rPr>
        <w:t>Projektowane zmiany nie tylko modernizują system wsparcia dla branży filmowej, ale również wprowadzają rozwiązania zwiększające bezpieczeństwo wydatkowania środków publicznych, wspierające producentów w pozyskiwaniu finansowania i usprawniające obowiązki archiwizacyjne. Jest</w:t>
      </w:r>
      <w:r w:rsidR="00F800BB" w:rsidRPr="00192DF5">
        <w:rPr>
          <w:rFonts w:ascii="Times New Roman" w:eastAsia="Times New Roman" w:hAnsi="Times New Roman" w:cs="Times New Roman"/>
          <w:lang w:eastAsia="pl-PL"/>
        </w:rPr>
        <w:t> </w:t>
      </w:r>
      <w:r w:rsidRPr="00192DF5">
        <w:rPr>
          <w:rFonts w:ascii="Times New Roman" w:eastAsia="Times New Roman" w:hAnsi="Times New Roman" w:cs="Times New Roman"/>
          <w:lang w:eastAsia="pl-PL"/>
        </w:rPr>
        <w:t>to krok w stronę bardziej nowoczesnej i zrównoważonej polityki kulturalnej, odpowiadającej potrzebom dynamicznie rozwijającego się sektora audiowizualnego. Nowelizacja wprowadza rozwiązania, które odpowiadają na postulaty branży, a jednocześnie wzmacniają mechanizmy kontroli i</w:t>
      </w:r>
      <w:r w:rsidR="00F800BB" w:rsidRPr="00192DF5">
        <w:rPr>
          <w:rFonts w:ascii="Times New Roman" w:eastAsia="Times New Roman" w:hAnsi="Times New Roman" w:cs="Times New Roman"/>
          <w:lang w:eastAsia="pl-PL"/>
        </w:rPr>
        <w:t> </w:t>
      </w:r>
      <w:r w:rsidRPr="00192DF5">
        <w:rPr>
          <w:rFonts w:ascii="Times New Roman" w:eastAsia="Times New Roman" w:hAnsi="Times New Roman" w:cs="Times New Roman"/>
          <w:lang w:eastAsia="pl-PL"/>
        </w:rPr>
        <w:t>racjonalnego wydatkowania środków publicznych.</w:t>
      </w:r>
    </w:p>
    <w:p w14:paraId="3AFFB66A" w14:textId="328B79A0" w:rsidR="005F0841" w:rsidRPr="00192DF5" w:rsidRDefault="00007936" w:rsidP="00192DF5">
      <w:pPr>
        <w:spacing w:after="120" w:line="360" w:lineRule="auto"/>
        <w:jc w:val="both"/>
        <w:rPr>
          <w:rFonts w:ascii="Times New Roman" w:eastAsia="Times New Roman" w:hAnsi="Times New Roman" w:cs="Times New Roman"/>
          <w:lang w:eastAsia="pl-PL"/>
        </w:rPr>
      </w:pPr>
      <w:r w:rsidRPr="00192DF5">
        <w:rPr>
          <w:rFonts w:ascii="Times New Roman" w:eastAsia="Times New Roman" w:hAnsi="Times New Roman" w:cs="Times New Roman"/>
          <w:lang w:eastAsia="pl-PL"/>
        </w:rPr>
        <w:t xml:space="preserve">Nowe przepisy porządkują system wsparcia, pozwalając na lepsze zarządzanie środkami publicznymi, jednocześnie zmniejszając ryzyko formalnych błędów po stronie beneficjentów. Uproszczeniu i racjonalizacji ulegają także obowiązki związane z przekazywaniem danych i kopii archiwalnych. Projektowane przepisy pozwolą instytucjom publicznym na większą elastyczność – m.in. </w:t>
      </w:r>
      <w:r w:rsidR="001C73C4" w:rsidRPr="00192DF5">
        <w:rPr>
          <w:rFonts w:ascii="Times New Roman" w:eastAsia="Times New Roman" w:hAnsi="Times New Roman" w:cs="Times New Roman"/>
          <w:lang w:eastAsia="pl-PL"/>
        </w:rPr>
        <w:t>dzięki</w:t>
      </w:r>
      <w:r w:rsidRPr="00192DF5">
        <w:rPr>
          <w:rFonts w:ascii="Times New Roman" w:eastAsia="Times New Roman" w:hAnsi="Times New Roman" w:cs="Times New Roman"/>
          <w:lang w:eastAsia="pl-PL"/>
        </w:rPr>
        <w:t xml:space="preserve"> możliwoś</w:t>
      </w:r>
      <w:r w:rsidR="001C73C4" w:rsidRPr="00192DF5">
        <w:rPr>
          <w:rFonts w:ascii="Times New Roman" w:eastAsia="Times New Roman" w:hAnsi="Times New Roman" w:cs="Times New Roman"/>
          <w:lang w:eastAsia="pl-PL"/>
        </w:rPr>
        <w:t>ci</w:t>
      </w:r>
      <w:r w:rsidRPr="00192DF5">
        <w:rPr>
          <w:rFonts w:ascii="Times New Roman" w:eastAsia="Times New Roman" w:hAnsi="Times New Roman" w:cs="Times New Roman"/>
          <w:lang w:eastAsia="pl-PL"/>
        </w:rPr>
        <w:t xml:space="preserve"> ustalenia standardów technicznych, przesuwania terminów czy nawet rezygnacji z obowiązku przekazania kopii w przypadkach szczególnych. To realne odciążenie dla producentów, zwłaszcza mniejszych, którzy często zmagają się z ograniczeniami logistycznymi lub finansowymi przy spełnianiu rozbudowanych wymagań administracyjnych.</w:t>
      </w:r>
    </w:p>
    <w:p w14:paraId="7F05E548" w14:textId="2BC5AC31" w:rsidR="005F0841" w:rsidRPr="00192DF5" w:rsidRDefault="00007936" w:rsidP="00192DF5">
      <w:pPr>
        <w:spacing w:after="120" w:line="360" w:lineRule="auto"/>
        <w:jc w:val="both"/>
        <w:rPr>
          <w:rFonts w:ascii="Times New Roman" w:eastAsia="Times New Roman" w:hAnsi="Times New Roman" w:cs="Times New Roman"/>
          <w:lang w:eastAsia="pl-PL"/>
        </w:rPr>
      </w:pPr>
      <w:r w:rsidRPr="00192DF5">
        <w:rPr>
          <w:rFonts w:ascii="Times New Roman" w:eastAsia="Times New Roman" w:hAnsi="Times New Roman" w:cs="Times New Roman"/>
          <w:lang w:eastAsia="pl-PL"/>
        </w:rPr>
        <w:t xml:space="preserve">W efekcie tych działań zostanie stworzone środowisko bardziej sprzyjające rozwojowi twórczości audiowizualnej w Polsce. System wsparcia stanie się nowocześniejszy, bardziej przewidywalny i dostępny, co wzmocni pozycję polskiego sektora audiowizualnego na rynku międzynarodowym, a jednocześnie podniesie konkurencyjność polskich firm działających w </w:t>
      </w:r>
      <w:r w:rsidRPr="00192DF5">
        <w:rPr>
          <w:rFonts w:ascii="Times New Roman" w:eastAsia="Times New Roman" w:hAnsi="Times New Roman" w:cs="Times New Roman"/>
          <w:lang w:eastAsia="pl-PL"/>
        </w:rPr>
        <w:lastRenderedPageBreak/>
        <w:t>branży. W dłuższej perspektywie zmiany te</w:t>
      </w:r>
      <w:r w:rsidR="00F800BB" w:rsidRPr="00192DF5">
        <w:rPr>
          <w:rFonts w:ascii="Times New Roman" w:eastAsia="Times New Roman" w:hAnsi="Times New Roman" w:cs="Times New Roman"/>
          <w:lang w:eastAsia="pl-PL"/>
        </w:rPr>
        <w:t> </w:t>
      </w:r>
      <w:r w:rsidRPr="00192DF5">
        <w:rPr>
          <w:rFonts w:ascii="Times New Roman" w:eastAsia="Times New Roman" w:hAnsi="Times New Roman" w:cs="Times New Roman"/>
          <w:lang w:eastAsia="pl-PL"/>
        </w:rPr>
        <w:t>powinny przyciągnąć do Polski poważne inwestycje, zwłaszcza z zagranicy, czyniąc nasz kraj atrakcyjnym miejscem do realizacji projektów filmowych i telewizyjnych.</w:t>
      </w:r>
    </w:p>
    <w:p w14:paraId="203A0720" w14:textId="596BAF10" w:rsidR="005F0841" w:rsidRPr="00192DF5" w:rsidRDefault="00007936" w:rsidP="00192DF5">
      <w:pPr>
        <w:spacing w:after="120" w:line="360" w:lineRule="auto"/>
        <w:jc w:val="both"/>
        <w:rPr>
          <w:rFonts w:ascii="Times New Roman" w:eastAsia="Times New Roman" w:hAnsi="Times New Roman" w:cs="Times New Roman"/>
          <w:lang w:eastAsia="pl-PL"/>
        </w:rPr>
      </w:pPr>
      <w:r w:rsidRPr="00192DF5">
        <w:rPr>
          <w:rFonts w:ascii="Times New Roman" w:eastAsia="Times New Roman" w:hAnsi="Times New Roman" w:cs="Times New Roman"/>
          <w:lang w:eastAsia="pl-PL"/>
        </w:rPr>
        <w:t>Wpłynie to korzystnie nie tylko na samą branżę filmową, ale również na inne dziedziny gospodarki i życia społecznego – od usług hotelarskich i transportowych, przez sektor kreatywny, po edukację filmową i</w:t>
      </w:r>
      <w:r w:rsidR="00F800BB" w:rsidRPr="00192DF5">
        <w:rPr>
          <w:rFonts w:ascii="Times New Roman" w:eastAsia="Times New Roman" w:hAnsi="Times New Roman" w:cs="Times New Roman"/>
          <w:lang w:eastAsia="pl-PL"/>
        </w:rPr>
        <w:t> </w:t>
      </w:r>
      <w:r w:rsidRPr="00192DF5">
        <w:rPr>
          <w:rFonts w:ascii="Times New Roman" w:eastAsia="Times New Roman" w:hAnsi="Times New Roman" w:cs="Times New Roman"/>
          <w:lang w:eastAsia="pl-PL"/>
        </w:rPr>
        <w:t>promocję kultury narodowej. Deregulacja w tym obszarze jest zatem nie tylko techniczną modyfikacją przepisów, lecz także strategicznym krokiem w stronę wzmocnienia roli kultury i przemysłów kreatywnych jako ważnych filarów nowoczesnej, innowacyjnej gospodarki.</w:t>
      </w:r>
    </w:p>
    <w:p w14:paraId="46503462" w14:textId="77777777" w:rsidR="005F0841" w:rsidRPr="00192DF5" w:rsidRDefault="00007936" w:rsidP="00192DF5">
      <w:pPr>
        <w:pStyle w:val="PKTpunkt"/>
        <w:spacing w:after="120" w:line="360" w:lineRule="auto"/>
        <w:rPr>
          <w:rFonts w:ascii="Times New Roman" w:hAnsi="Times New Roman" w:cs="Times New Roman"/>
          <w:szCs w:val="24"/>
        </w:rPr>
      </w:pPr>
      <w:r w:rsidRPr="00192DF5">
        <w:rPr>
          <w:rFonts w:ascii="Times New Roman" w:hAnsi="Times New Roman" w:cs="Times New Roman"/>
          <w:szCs w:val="24"/>
        </w:rPr>
        <w:t xml:space="preserve">Projekt ustawy jest zgodny z prawem Unii Europejskiej. </w:t>
      </w:r>
    </w:p>
    <w:p w14:paraId="0DF65D7C" w14:textId="7B27D28F" w:rsidR="005F0841" w:rsidRPr="00192DF5" w:rsidRDefault="00007936" w:rsidP="00192DF5">
      <w:pPr>
        <w:pStyle w:val="PKTpunkt"/>
        <w:spacing w:after="120" w:line="360" w:lineRule="auto"/>
        <w:ind w:left="0" w:firstLine="0"/>
        <w:rPr>
          <w:rFonts w:ascii="Times New Roman" w:hAnsi="Times New Roman" w:cs="Times New Roman"/>
          <w:szCs w:val="24"/>
        </w:rPr>
      </w:pPr>
      <w:r w:rsidRPr="00192DF5">
        <w:rPr>
          <w:rFonts w:ascii="Times New Roman" w:hAnsi="Times New Roman" w:cs="Times New Roman"/>
          <w:szCs w:val="24"/>
        </w:rPr>
        <w:t xml:space="preserve">Projekt </w:t>
      </w:r>
      <w:r w:rsidR="001C73C4" w:rsidRPr="00192DF5">
        <w:rPr>
          <w:rFonts w:ascii="Times New Roman" w:hAnsi="Times New Roman" w:cs="Times New Roman"/>
          <w:szCs w:val="24"/>
        </w:rPr>
        <w:t>ustawy</w:t>
      </w:r>
      <w:r w:rsidRPr="00192DF5">
        <w:rPr>
          <w:rFonts w:ascii="Times New Roman" w:hAnsi="Times New Roman" w:cs="Times New Roman"/>
          <w:szCs w:val="24"/>
        </w:rPr>
        <w:t xml:space="preserve"> nie zawiera przepisów technicznych w rozumieniu rozporządzenia Rady Ministrów z dnia 23 grudnia 2002 r. w sprawie sposobu funkcjonowania krajowego systemu notyfikacji norm i aktów prawnych (Dz. U. poz. 2039 oraz z 2004 r. poz. 597) i nie podlega notyfikacji Komisji Europejskiej.</w:t>
      </w:r>
    </w:p>
    <w:p w14:paraId="3F6D1545" w14:textId="1821CD69" w:rsidR="005F0841" w:rsidRPr="00192DF5" w:rsidRDefault="00007936" w:rsidP="00192DF5">
      <w:pPr>
        <w:pStyle w:val="PKTpunkt"/>
        <w:spacing w:after="120" w:line="360" w:lineRule="auto"/>
        <w:ind w:left="0" w:firstLine="0"/>
        <w:rPr>
          <w:rFonts w:ascii="Times New Roman" w:hAnsi="Times New Roman" w:cs="Times New Roman"/>
          <w:szCs w:val="24"/>
        </w:rPr>
      </w:pPr>
      <w:r w:rsidRPr="00192DF5">
        <w:rPr>
          <w:rFonts w:ascii="Times New Roman" w:hAnsi="Times New Roman" w:cs="Times New Roman"/>
          <w:szCs w:val="24"/>
        </w:rPr>
        <w:t xml:space="preserve">Projekt </w:t>
      </w:r>
      <w:r w:rsidR="001C73C4" w:rsidRPr="00192DF5">
        <w:rPr>
          <w:rFonts w:ascii="Times New Roman" w:hAnsi="Times New Roman" w:cs="Times New Roman"/>
          <w:szCs w:val="24"/>
        </w:rPr>
        <w:t>ustawy</w:t>
      </w:r>
      <w:r w:rsidRPr="00192DF5">
        <w:rPr>
          <w:rFonts w:ascii="Times New Roman" w:hAnsi="Times New Roman" w:cs="Times New Roman"/>
          <w:szCs w:val="24"/>
        </w:rPr>
        <w:t xml:space="preserve"> nie wymaga notyfikacji Komisji Europejskiej w trybie ustawy z dnia 30 kwietnia 2004 r. o</w:t>
      </w:r>
      <w:r w:rsidR="00F800BB" w:rsidRPr="00192DF5">
        <w:rPr>
          <w:rFonts w:ascii="Times New Roman" w:hAnsi="Times New Roman" w:cs="Times New Roman"/>
          <w:szCs w:val="24"/>
        </w:rPr>
        <w:t> </w:t>
      </w:r>
      <w:r w:rsidRPr="00192DF5">
        <w:rPr>
          <w:rFonts w:ascii="Times New Roman" w:hAnsi="Times New Roman" w:cs="Times New Roman"/>
          <w:szCs w:val="24"/>
        </w:rPr>
        <w:t>postępowaniu w sprawach dotyczących pomocy publicznej (Dz. U. z 202</w:t>
      </w:r>
      <w:r w:rsidR="00D71CEF" w:rsidRPr="00192DF5">
        <w:rPr>
          <w:rFonts w:ascii="Times New Roman" w:hAnsi="Times New Roman" w:cs="Times New Roman"/>
          <w:szCs w:val="24"/>
        </w:rPr>
        <w:t>6</w:t>
      </w:r>
      <w:r w:rsidRPr="00192DF5">
        <w:rPr>
          <w:rFonts w:ascii="Times New Roman" w:hAnsi="Times New Roman" w:cs="Times New Roman"/>
          <w:szCs w:val="24"/>
        </w:rPr>
        <w:t xml:space="preserve"> r. poz</w:t>
      </w:r>
      <w:r w:rsidR="00D71CEF" w:rsidRPr="00192DF5">
        <w:rPr>
          <w:rFonts w:ascii="Times New Roman" w:hAnsi="Times New Roman" w:cs="Times New Roman"/>
          <w:szCs w:val="24"/>
        </w:rPr>
        <w:t>. 500</w:t>
      </w:r>
      <w:r w:rsidRPr="00192DF5">
        <w:rPr>
          <w:rFonts w:ascii="Times New Roman" w:hAnsi="Times New Roman" w:cs="Times New Roman"/>
          <w:szCs w:val="24"/>
        </w:rPr>
        <w:t>).</w:t>
      </w:r>
    </w:p>
    <w:p w14:paraId="56D5CCE2" w14:textId="6894C402" w:rsidR="005F0841" w:rsidRPr="00192DF5" w:rsidRDefault="00007936" w:rsidP="00192DF5">
      <w:pPr>
        <w:pStyle w:val="PKTpunkt"/>
        <w:spacing w:after="120" w:line="360" w:lineRule="auto"/>
        <w:ind w:left="0" w:firstLine="0"/>
        <w:rPr>
          <w:rFonts w:ascii="Times New Roman" w:hAnsi="Times New Roman" w:cs="Times New Roman"/>
          <w:szCs w:val="24"/>
        </w:rPr>
      </w:pPr>
      <w:r w:rsidRPr="00192DF5">
        <w:rPr>
          <w:rFonts w:ascii="Times New Roman" w:hAnsi="Times New Roman" w:cs="Times New Roman"/>
          <w:color w:val="000000"/>
          <w:spacing w:val="-2"/>
          <w:szCs w:val="24"/>
        </w:rPr>
        <w:t xml:space="preserve">Zmieniana ustawa </w:t>
      </w:r>
      <w:r w:rsidR="00DB070D" w:rsidRPr="00192DF5">
        <w:rPr>
          <w:rFonts w:ascii="Times New Roman" w:hAnsi="Times New Roman" w:cs="Times New Roman"/>
          <w:color w:val="000000"/>
          <w:spacing w:val="-2"/>
          <w:szCs w:val="24"/>
        </w:rPr>
        <w:t xml:space="preserve">z dnia 9 listopada 2018 r. </w:t>
      </w:r>
      <w:r w:rsidRPr="00192DF5">
        <w:rPr>
          <w:rFonts w:ascii="Times New Roman" w:hAnsi="Times New Roman" w:cs="Times New Roman"/>
          <w:color w:val="000000"/>
          <w:spacing w:val="-2"/>
          <w:szCs w:val="24"/>
        </w:rPr>
        <w:t xml:space="preserve">o finansowym wspieraniu produkcji audiowizualnej stanowi program pomocy na rzecz utworów audiowizualnych w rozumieniu art. 54 </w:t>
      </w:r>
      <w:r w:rsidR="00C932B4" w:rsidRPr="00192DF5">
        <w:rPr>
          <w:rFonts w:ascii="Times New Roman" w:hAnsi="Times New Roman" w:cs="Times New Roman"/>
          <w:color w:val="000000"/>
          <w:spacing w:val="-2"/>
          <w:szCs w:val="24"/>
        </w:rPr>
        <w:t>r</w:t>
      </w:r>
      <w:r w:rsidRPr="00192DF5">
        <w:rPr>
          <w:rFonts w:ascii="Times New Roman" w:hAnsi="Times New Roman" w:cs="Times New Roman"/>
          <w:color w:val="000000"/>
          <w:spacing w:val="-2"/>
          <w:szCs w:val="24"/>
        </w:rPr>
        <w:t>ozporządzenia Komisji (UE) nr</w:t>
      </w:r>
      <w:r w:rsidR="00F800BB" w:rsidRPr="00192DF5">
        <w:rPr>
          <w:rFonts w:ascii="Times New Roman" w:hAnsi="Times New Roman" w:cs="Times New Roman"/>
          <w:color w:val="000000"/>
          <w:spacing w:val="-2"/>
          <w:szCs w:val="24"/>
        </w:rPr>
        <w:t> </w:t>
      </w:r>
      <w:r w:rsidRPr="00192DF5">
        <w:rPr>
          <w:rFonts w:ascii="Times New Roman" w:hAnsi="Times New Roman" w:cs="Times New Roman"/>
          <w:color w:val="000000"/>
          <w:spacing w:val="-2"/>
          <w:szCs w:val="24"/>
        </w:rPr>
        <w:t xml:space="preserve">651/2014 z dnia 17 czerwca 2014 r. uznającego niektóre rodzaje pomocy za zgodne z rynkiem wewnętrznym w zastosowaniu art. 107 i 108 Traktatu (Dz. Urz. UE L 187 z 26.06.2014, str. 1, z </w:t>
      </w:r>
      <w:proofErr w:type="spellStart"/>
      <w:r w:rsidRPr="00192DF5">
        <w:rPr>
          <w:rFonts w:ascii="Times New Roman" w:hAnsi="Times New Roman" w:cs="Times New Roman"/>
          <w:color w:val="000000"/>
          <w:spacing w:val="-2"/>
          <w:szCs w:val="24"/>
        </w:rPr>
        <w:t>późn</w:t>
      </w:r>
      <w:proofErr w:type="spellEnd"/>
      <w:r w:rsidRPr="00192DF5">
        <w:rPr>
          <w:rFonts w:ascii="Times New Roman" w:hAnsi="Times New Roman" w:cs="Times New Roman"/>
          <w:color w:val="000000"/>
          <w:spacing w:val="-2"/>
          <w:szCs w:val="24"/>
        </w:rPr>
        <w:t>. zm</w:t>
      </w:r>
      <w:r w:rsidR="00CF088A" w:rsidRPr="00192DF5">
        <w:rPr>
          <w:rFonts w:ascii="Times New Roman" w:hAnsi="Times New Roman" w:cs="Times New Roman"/>
          <w:color w:val="000000"/>
          <w:spacing w:val="-2"/>
          <w:szCs w:val="24"/>
        </w:rPr>
        <w:t>.)</w:t>
      </w:r>
      <w:r w:rsidR="00B7135D" w:rsidRPr="00192DF5">
        <w:rPr>
          <w:rFonts w:ascii="Times New Roman" w:hAnsi="Times New Roman" w:cs="Times New Roman"/>
          <w:color w:val="000000"/>
          <w:spacing w:val="-2"/>
          <w:szCs w:val="24"/>
        </w:rPr>
        <w:t xml:space="preserve"> </w:t>
      </w:r>
      <w:r w:rsidR="00CF088A" w:rsidRPr="00192DF5">
        <w:rPr>
          <w:rFonts w:ascii="Times New Roman" w:hAnsi="Times New Roman" w:cs="Times New Roman"/>
          <w:color w:val="000000"/>
          <w:spacing w:val="-2"/>
          <w:szCs w:val="24"/>
        </w:rPr>
        <w:t>(</w:t>
      </w:r>
      <w:r w:rsidR="00B7135D" w:rsidRPr="00192DF5">
        <w:rPr>
          <w:rFonts w:ascii="Times New Roman" w:hAnsi="Times New Roman" w:cs="Times New Roman"/>
          <w:color w:val="000000"/>
          <w:spacing w:val="-2"/>
          <w:szCs w:val="24"/>
        </w:rPr>
        <w:t>dalej jako: „rozporządzenie 651/2014”</w:t>
      </w:r>
      <w:r w:rsidRPr="00192DF5">
        <w:rPr>
          <w:rFonts w:ascii="Times New Roman" w:hAnsi="Times New Roman" w:cs="Times New Roman"/>
          <w:color w:val="000000"/>
          <w:spacing w:val="-2"/>
          <w:szCs w:val="24"/>
        </w:rPr>
        <w:t xml:space="preserve">), </w:t>
      </w:r>
      <w:r w:rsidR="00BF5514" w:rsidRPr="00192DF5">
        <w:rPr>
          <w:rFonts w:ascii="Times New Roman" w:hAnsi="Times New Roman" w:cs="Times New Roman"/>
          <w:color w:val="000000"/>
          <w:spacing w:val="-2"/>
          <w:szCs w:val="24"/>
        </w:rPr>
        <w:t>wobec czego przyjęcie projektu</w:t>
      </w:r>
      <w:r w:rsidR="00F800BB" w:rsidRPr="00192DF5">
        <w:rPr>
          <w:rFonts w:ascii="Times New Roman" w:hAnsi="Times New Roman" w:cs="Times New Roman"/>
          <w:color w:val="000000"/>
          <w:spacing w:val="-2"/>
          <w:szCs w:val="24"/>
        </w:rPr>
        <w:t> </w:t>
      </w:r>
      <w:r w:rsidRPr="00192DF5">
        <w:rPr>
          <w:rFonts w:ascii="Times New Roman" w:hAnsi="Times New Roman" w:cs="Times New Roman"/>
          <w:color w:val="000000"/>
          <w:spacing w:val="-2"/>
          <w:szCs w:val="24"/>
        </w:rPr>
        <w:t xml:space="preserve">będzie wymagało </w:t>
      </w:r>
      <w:r w:rsidR="00B7135D" w:rsidRPr="00192DF5">
        <w:rPr>
          <w:rFonts w:ascii="Times New Roman" w:hAnsi="Times New Roman" w:cs="Times New Roman"/>
          <w:color w:val="000000"/>
          <w:spacing w:val="-2"/>
          <w:szCs w:val="24"/>
        </w:rPr>
        <w:t>dokonania zgłoszenia zmieniającego</w:t>
      </w:r>
      <w:r w:rsidRPr="00192DF5">
        <w:rPr>
          <w:rFonts w:ascii="Times New Roman" w:hAnsi="Times New Roman" w:cs="Times New Roman"/>
          <w:color w:val="000000"/>
          <w:spacing w:val="-2"/>
          <w:szCs w:val="24"/>
        </w:rPr>
        <w:t>.</w:t>
      </w:r>
      <w:r w:rsidR="00B7135D" w:rsidRPr="00192DF5">
        <w:rPr>
          <w:rFonts w:ascii="Times New Roman" w:hAnsi="Times New Roman" w:cs="Times New Roman"/>
          <w:color w:val="000000"/>
          <w:spacing w:val="-2"/>
          <w:szCs w:val="24"/>
        </w:rPr>
        <w:t xml:space="preserve"> Zgłoszenie zostanie dokonane w trybie art. 11 ust. 1 lit. a rozporządzenia 651/2014 w terminie 20 dni roboczych od wejścia projektu w życie.</w:t>
      </w:r>
      <w:r w:rsidR="005E2A74" w:rsidRPr="00192DF5">
        <w:rPr>
          <w:rFonts w:ascii="Times New Roman" w:hAnsi="Times New Roman" w:cs="Times New Roman"/>
          <w:color w:val="000000"/>
          <w:spacing w:val="-2"/>
          <w:szCs w:val="24"/>
        </w:rPr>
        <w:t xml:space="preserve"> Projekt ustawy został przekazany</w:t>
      </w:r>
      <w:r w:rsidR="00590E3C" w:rsidRPr="00192DF5">
        <w:rPr>
          <w:rFonts w:ascii="Times New Roman" w:hAnsi="Times New Roman" w:cs="Times New Roman"/>
          <w:color w:val="000000"/>
          <w:spacing w:val="-2"/>
          <w:szCs w:val="24"/>
        </w:rPr>
        <w:t xml:space="preserve"> w dniu 6 lutego 2026 r.</w:t>
      </w:r>
      <w:r w:rsidR="005E2A74" w:rsidRPr="00192DF5">
        <w:rPr>
          <w:rFonts w:ascii="Times New Roman" w:hAnsi="Times New Roman" w:cs="Times New Roman"/>
          <w:color w:val="000000"/>
          <w:spacing w:val="-2"/>
          <w:szCs w:val="24"/>
        </w:rPr>
        <w:t xml:space="preserve"> do zaopiniowania przez Prezesa Urzędu Ochrony Konkurencji i Konsumentów, który nie zgłosił uwag.</w:t>
      </w:r>
    </w:p>
    <w:p w14:paraId="6321EB9E" w14:textId="7522A059" w:rsidR="005F0841" w:rsidRPr="00192DF5" w:rsidRDefault="00007936" w:rsidP="00192DF5">
      <w:pPr>
        <w:pStyle w:val="PKTpunkt"/>
        <w:spacing w:after="120" w:line="360" w:lineRule="auto"/>
        <w:ind w:left="0" w:firstLine="0"/>
        <w:rPr>
          <w:rFonts w:ascii="Times New Roman" w:hAnsi="Times New Roman" w:cs="Times New Roman"/>
          <w:szCs w:val="24"/>
        </w:rPr>
      </w:pPr>
      <w:r w:rsidRPr="00192DF5">
        <w:rPr>
          <w:rFonts w:ascii="Times New Roman" w:hAnsi="Times New Roman" w:cs="Times New Roman"/>
          <w:szCs w:val="24"/>
        </w:rPr>
        <w:t xml:space="preserve">Projekt </w:t>
      </w:r>
      <w:r w:rsidR="00D00780" w:rsidRPr="00192DF5">
        <w:rPr>
          <w:rFonts w:ascii="Times New Roman" w:hAnsi="Times New Roman" w:cs="Times New Roman"/>
          <w:szCs w:val="24"/>
        </w:rPr>
        <w:t xml:space="preserve">ustawy </w:t>
      </w:r>
      <w:r w:rsidRPr="00192DF5">
        <w:rPr>
          <w:rFonts w:ascii="Times New Roman" w:hAnsi="Times New Roman" w:cs="Times New Roman"/>
          <w:szCs w:val="24"/>
        </w:rPr>
        <w:t xml:space="preserve">nie wymaga przedstawienia właściwym organom i instytucjom Unii Europejskiej, w tym Europejskiemu Bankowi Centralnemu, w celu uzyskania opinii, dokonania powiadomienia, konsultacji albo uzgodnienia. </w:t>
      </w:r>
    </w:p>
    <w:p w14:paraId="1996978C" w14:textId="379A88EB" w:rsidR="005F0841" w:rsidRPr="00192DF5" w:rsidRDefault="00007936" w:rsidP="00192DF5">
      <w:pPr>
        <w:pStyle w:val="PKTpunkt"/>
        <w:spacing w:after="120" w:line="360" w:lineRule="auto"/>
        <w:ind w:left="0" w:firstLine="0"/>
        <w:rPr>
          <w:rFonts w:ascii="Times New Roman" w:hAnsi="Times New Roman" w:cs="Times New Roman"/>
          <w:szCs w:val="24"/>
        </w:rPr>
      </w:pPr>
      <w:r w:rsidRPr="00192DF5">
        <w:rPr>
          <w:rFonts w:ascii="Times New Roman" w:hAnsi="Times New Roman" w:cs="Times New Roman"/>
          <w:szCs w:val="24"/>
        </w:rPr>
        <w:lastRenderedPageBreak/>
        <w:t>Stosownie do postanowień art. 5 ustawy z dnia 7 lipca 2005 r. o działalności lobbingowej w</w:t>
      </w:r>
      <w:r w:rsidR="00CA713E">
        <w:rPr>
          <w:rFonts w:ascii="Times New Roman" w:hAnsi="Times New Roman" w:cs="Times New Roman"/>
          <w:szCs w:val="24"/>
        </w:rPr>
        <w:t> </w:t>
      </w:r>
      <w:r w:rsidRPr="00192DF5">
        <w:rPr>
          <w:rFonts w:ascii="Times New Roman" w:hAnsi="Times New Roman" w:cs="Times New Roman"/>
          <w:szCs w:val="24"/>
        </w:rPr>
        <w:t>procesie stanowienia prawa (Dz. U. z 20</w:t>
      </w:r>
      <w:r w:rsidR="00D00780" w:rsidRPr="00192DF5">
        <w:rPr>
          <w:rFonts w:ascii="Times New Roman" w:hAnsi="Times New Roman" w:cs="Times New Roman"/>
          <w:szCs w:val="24"/>
        </w:rPr>
        <w:t>2</w:t>
      </w:r>
      <w:r w:rsidR="004D2AFD">
        <w:rPr>
          <w:rFonts w:ascii="Times New Roman" w:hAnsi="Times New Roman" w:cs="Times New Roman"/>
          <w:szCs w:val="24"/>
        </w:rPr>
        <w:t>6</w:t>
      </w:r>
      <w:r w:rsidRPr="00192DF5">
        <w:rPr>
          <w:rFonts w:ascii="Times New Roman" w:hAnsi="Times New Roman" w:cs="Times New Roman"/>
          <w:szCs w:val="24"/>
        </w:rPr>
        <w:t xml:space="preserve"> r. poz. </w:t>
      </w:r>
      <w:r w:rsidR="004D2AFD">
        <w:rPr>
          <w:rFonts w:ascii="Times New Roman" w:hAnsi="Times New Roman" w:cs="Times New Roman"/>
          <w:szCs w:val="24"/>
        </w:rPr>
        <w:t>936</w:t>
      </w:r>
      <w:r w:rsidRPr="00192DF5">
        <w:rPr>
          <w:rFonts w:ascii="Times New Roman" w:hAnsi="Times New Roman" w:cs="Times New Roman"/>
          <w:szCs w:val="24"/>
        </w:rPr>
        <w:t>) oraz zgodnie z § 52 ust. 1 uchwały nr</w:t>
      </w:r>
      <w:r w:rsidR="00CA713E">
        <w:rPr>
          <w:rFonts w:ascii="Times New Roman" w:hAnsi="Times New Roman" w:cs="Times New Roman"/>
          <w:szCs w:val="24"/>
        </w:rPr>
        <w:t> </w:t>
      </w:r>
      <w:r w:rsidRPr="00192DF5">
        <w:rPr>
          <w:rFonts w:ascii="Times New Roman" w:hAnsi="Times New Roman" w:cs="Times New Roman"/>
          <w:szCs w:val="24"/>
        </w:rPr>
        <w:t>190 Rady Ministrów z</w:t>
      </w:r>
      <w:r w:rsidR="00F800BB" w:rsidRPr="00192DF5">
        <w:rPr>
          <w:rFonts w:ascii="Times New Roman" w:hAnsi="Times New Roman" w:cs="Times New Roman"/>
          <w:szCs w:val="24"/>
        </w:rPr>
        <w:t> </w:t>
      </w:r>
      <w:r w:rsidRPr="00192DF5">
        <w:rPr>
          <w:rFonts w:ascii="Times New Roman" w:hAnsi="Times New Roman" w:cs="Times New Roman"/>
          <w:szCs w:val="24"/>
        </w:rPr>
        <w:t>dnia 29 października 2013 r. – Regulamin pracy Rady Ministrów (M.P.</w:t>
      </w:r>
      <w:r w:rsidR="00CA713E">
        <w:rPr>
          <w:rFonts w:ascii="Times New Roman" w:hAnsi="Times New Roman" w:cs="Times New Roman"/>
          <w:szCs w:val="24"/>
        </w:rPr>
        <w:t> </w:t>
      </w:r>
      <w:r w:rsidRPr="00192DF5">
        <w:rPr>
          <w:rFonts w:ascii="Times New Roman" w:hAnsi="Times New Roman" w:cs="Times New Roman"/>
          <w:szCs w:val="24"/>
        </w:rPr>
        <w:t>z 202</w:t>
      </w:r>
      <w:r w:rsidR="00D71CEF" w:rsidRPr="00192DF5">
        <w:rPr>
          <w:rFonts w:ascii="Times New Roman" w:hAnsi="Times New Roman" w:cs="Times New Roman"/>
          <w:szCs w:val="24"/>
        </w:rPr>
        <w:t>6</w:t>
      </w:r>
      <w:r w:rsidR="006A4594" w:rsidRPr="00192DF5">
        <w:rPr>
          <w:rFonts w:ascii="Times New Roman" w:hAnsi="Times New Roman" w:cs="Times New Roman"/>
          <w:szCs w:val="24"/>
        </w:rPr>
        <w:t> </w:t>
      </w:r>
      <w:r w:rsidRPr="00192DF5">
        <w:rPr>
          <w:rFonts w:ascii="Times New Roman" w:hAnsi="Times New Roman" w:cs="Times New Roman"/>
          <w:szCs w:val="24"/>
        </w:rPr>
        <w:t xml:space="preserve">r. poz. </w:t>
      </w:r>
      <w:r w:rsidR="00D71CEF" w:rsidRPr="00192DF5">
        <w:rPr>
          <w:rFonts w:ascii="Times New Roman" w:hAnsi="Times New Roman" w:cs="Times New Roman"/>
          <w:szCs w:val="24"/>
        </w:rPr>
        <w:t>404</w:t>
      </w:r>
      <w:r w:rsidRPr="00192DF5">
        <w:rPr>
          <w:rFonts w:ascii="Times New Roman" w:hAnsi="Times New Roman" w:cs="Times New Roman"/>
          <w:szCs w:val="24"/>
        </w:rPr>
        <w:t>), projekt został udostępniony w Biuletynie Informacji Publicznej na stronie podmiotowej Rządowego Centrum Legislacji, w serwisie Rządowy Proces Legislacyjny.</w:t>
      </w:r>
      <w:r w:rsidR="00E6226A" w:rsidRPr="00192DF5">
        <w:rPr>
          <w:rFonts w:ascii="Times New Roman" w:eastAsia="Calibri" w:hAnsi="Times New Roman" w:cs="Times New Roman"/>
          <w:color w:val="000000"/>
          <w:spacing w:val="-2"/>
          <w:szCs w:val="24"/>
          <w:lang w:eastAsia="en-US"/>
        </w:rPr>
        <w:t xml:space="preserve"> </w:t>
      </w:r>
      <w:r w:rsidR="00E6226A" w:rsidRPr="00192DF5">
        <w:rPr>
          <w:rFonts w:ascii="Times New Roman" w:hAnsi="Times New Roman" w:cs="Times New Roman"/>
          <w:szCs w:val="24"/>
        </w:rPr>
        <w:t>Zgłoszeń lobbingowych nie odnotowano.</w:t>
      </w:r>
    </w:p>
    <w:sectPr w:rsidR="005F0841" w:rsidRPr="00192DF5" w:rsidSect="00192DF5">
      <w:footerReference w:type="default" r:id="rId8"/>
      <w:pgSz w:w="11906" w:h="16838"/>
      <w:pgMar w:top="1515" w:right="1417" w:bottom="1711" w:left="1417"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A2937" w14:textId="77777777" w:rsidR="00F450F9" w:rsidRDefault="00F450F9">
      <w:r>
        <w:separator/>
      </w:r>
    </w:p>
  </w:endnote>
  <w:endnote w:type="continuationSeparator" w:id="0">
    <w:p w14:paraId="4D6D07A3" w14:textId="77777777" w:rsidR="00F450F9" w:rsidRDefault="00F450F9">
      <w:r>
        <w:continuationSeparator/>
      </w:r>
    </w:p>
  </w:endnote>
  <w:endnote w:type="continuationNotice" w:id="1">
    <w:p w14:paraId="020033BA" w14:textId="77777777" w:rsidR="00F450F9" w:rsidRDefault="00F45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705690"/>
      <w:docPartObj>
        <w:docPartGallery w:val="Page Numbers (Bottom of Page)"/>
        <w:docPartUnique/>
      </w:docPartObj>
    </w:sdtPr>
    <w:sdtEndPr/>
    <w:sdtContent>
      <w:p w14:paraId="56619F90" w14:textId="28A3B92A" w:rsidR="005F0841" w:rsidRDefault="00007936">
        <w:pPr>
          <w:pStyle w:val="Stopka"/>
          <w:jc w:val="center"/>
        </w:pPr>
        <w:r w:rsidRPr="00192DF5">
          <w:rPr>
            <w:rFonts w:ascii="Times New Roman" w:hAnsi="Times New Roman" w:cs="Times New Roman"/>
            <w:sz w:val="24"/>
            <w:szCs w:val="24"/>
          </w:rPr>
          <w:fldChar w:fldCharType="begin"/>
        </w:r>
        <w:r w:rsidRPr="00192DF5">
          <w:rPr>
            <w:rFonts w:ascii="Times New Roman" w:hAnsi="Times New Roman" w:cs="Times New Roman"/>
            <w:sz w:val="24"/>
            <w:szCs w:val="24"/>
          </w:rPr>
          <w:instrText>PAGE   \* MERGEFORMAT</w:instrText>
        </w:r>
        <w:r w:rsidRPr="00192DF5">
          <w:rPr>
            <w:rFonts w:ascii="Times New Roman" w:hAnsi="Times New Roman" w:cs="Times New Roman"/>
            <w:sz w:val="24"/>
            <w:szCs w:val="24"/>
          </w:rPr>
          <w:fldChar w:fldCharType="separate"/>
        </w:r>
        <w:r w:rsidR="00BF5514" w:rsidRPr="00192DF5">
          <w:rPr>
            <w:rFonts w:ascii="Times New Roman" w:hAnsi="Times New Roman" w:cs="Times New Roman"/>
            <w:noProof/>
            <w:sz w:val="24"/>
            <w:szCs w:val="24"/>
          </w:rPr>
          <w:t>11</w:t>
        </w:r>
        <w:r w:rsidRPr="00192DF5">
          <w:rPr>
            <w:rFonts w:ascii="Times New Roman" w:hAnsi="Times New Roman" w:cs="Times New Roman"/>
            <w:sz w:val="24"/>
            <w:szCs w:val="24"/>
          </w:rPr>
          <w:fldChar w:fldCharType="end"/>
        </w:r>
      </w:p>
    </w:sdtContent>
  </w:sdt>
  <w:p w14:paraId="7A333EB6" w14:textId="77777777" w:rsidR="005F0841" w:rsidRDefault="005F08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2F1EE" w14:textId="77777777" w:rsidR="00F450F9" w:rsidRDefault="00F450F9">
      <w:r>
        <w:separator/>
      </w:r>
    </w:p>
  </w:footnote>
  <w:footnote w:type="continuationSeparator" w:id="0">
    <w:p w14:paraId="19BCBA4F" w14:textId="77777777" w:rsidR="00F450F9" w:rsidRDefault="00F450F9">
      <w:r>
        <w:continuationSeparator/>
      </w:r>
    </w:p>
  </w:footnote>
  <w:footnote w:type="continuationNotice" w:id="1">
    <w:p w14:paraId="69586C3D" w14:textId="77777777" w:rsidR="00F450F9" w:rsidRDefault="00F450F9"/>
  </w:footnote>
  <w:footnote w:id="2">
    <w:p w14:paraId="0237E7FF" w14:textId="5756B5D9" w:rsidR="00505F59" w:rsidRDefault="00007936">
      <w:r w:rsidRPr="00580A23">
        <w:rPr>
          <w:rFonts w:ascii="Times New Roman" w:hAnsi="Times New Roman" w:cs="Times New Roman"/>
          <w:sz w:val="16"/>
          <w:szCs w:val="16"/>
        </w:rPr>
        <w:t>https://kipa.pl/wp-content/uploads/2023/11/Raport_KIPA_PL_27.11.2023.pdf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7337"/>
    <w:multiLevelType w:val="multilevel"/>
    <w:tmpl w:val="CC2896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0415A"/>
    <w:multiLevelType w:val="multilevel"/>
    <w:tmpl w:val="C6425F8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06B46707"/>
    <w:multiLevelType w:val="multilevel"/>
    <w:tmpl w:val="983E20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9C91C2B"/>
    <w:multiLevelType w:val="multilevel"/>
    <w:tmpl w:val="92C4F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006FA4"/>
    <w:multiLevelType w:val="multilevel"/>
    <w:tmpl w:val="669277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8F94091"/>
    <w:multiLevelType w:val="multilevel"/>
    <w:tmpl w:val="70AA9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F02316"/>
    <w:multiLevelType w:val="multilevel"/>
    <w:tmpl w:val="6BDEA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145119"/>
    <w:multiLevelType w:val="multilevel"/>
    <w:tmpl w:val="C73AAD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F8A71BB"/>
    <w:multiLevelType w:val="multilevel"/>
    <w:tmpl w:val="D632D3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C71297"/>
    <w:multiLevelType w:val="multilevel"/>
    <w:tmpl w:val="B35687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5F72CC"/>
    <w:multiLevelType w:val="multilevel"/>
    <w:tmpl w:val="8F58C5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966143D"/>
    <w:multiLevelType w:val="multilevel"/>
    <w:tmpl w:val="1BD625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43714A7"/>
    <w:multiLevelType w:val="multilevel"/>
    <w:tmpl w:val="01EC1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2E79A8"/>
    <w:multiLevelType w:val="multilevel"/>
    <w:tmpl w:val="ED709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4014B6"/>
    <w:multiLevelType w:val="multilevel"/>
    <w:tmpl w:val="A1D4D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251CAB"/>
    <w:multiLevelType w:val="multilevel"/>
    <w:tmpl w:val="0504A4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63301484">
    <w:abstractNumId w:val="11"/>
  </w:num>
  <w:num w:numId="2" w16cid:durableId="1919554995">
    <w:abstractNumId w:val="1"/>
  </w:num>
  <w:num w:numId="3" w16cid:durableId="730426120">
    <w:abstractNumId w:val="2"/>
  </w:num>
  <w:num w:numId="4" w16cid:durableId="374815273">
    <w:abstractNumId w:val="7"/>
  </w:num>
  <w:num w:numId="5" w16cid:durableId="324171172">
    <w:abstractNumId w:val="4"/>
  </w:num>
  <w:num w:numId="6" w16cid:durableId="1382099668">
    <w:abstractNumId w:val="10"/>
  </w:num>
  <w:num w:numId="7" w16cid:durableId="1538392261">
    <w:abstractNumId w:val="15"/>
  </w:num>
  <w:num w:numId="8" w16cid:durableId="156653823">
    <w:abstractNumId w:val="3"/>
  </w:num>
  <w:num w:numId="9" w16cid:durableId="1752194186">
    <w:abstractNumId w:val="8"/>
  </w:num>
  <w:num w:numId="10" w16cid:durableId="235360642">
    <w:abstractNumId w:val="6"/>
  </w:num>
  <w:num w:numId="11" w16cid:durableId="1801916825">
    <w:abstractNumId w:val="13"/>
  </w:num>
  <w:num w:numId="12" w16cid:durableId="1635597582">
    <w:abstractNumId w:val="14"/>
  </w:num>
  <w:num w:numId="13" w16cid:durableId="63381365">
    <w:abstractNumId w:val="12"/>
  </w:num>
  <w:num w:numId="14" w16cid:durableId="1871333363">
    <w:abstractNumId w:val="0"/>
  </w:num>
  <w:num w:numId="15" w16cid:durableId="1248728309">
    <w:abstractNumId w:val="9"/>
  </w:num>
  <w:num w:numId="16" w16cid:durableId="15768942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E4"/>
    <w:rsid w:val="00007936"/>
    <w:rsid w:val="00011C61"/>
    <w:rsid w:val="00044FB1"/>
    <w:rsid w:val="00067148"/>
    <w:rsid w:val="000836EB"/>
    <w:rsid w:val="000870F6"/>
    <w:rsid w:val="000A3F57"/>
    <w:rsid w:val="000C0C28"/>
    <w:rsid w:val="000D1FC7"/>
    <w:rsid w:val="000D5842"/>
    <w:rsid w:val="000E1140"/>
    <w:rsid w:val="000E364F"/>
    <w:rsid w:val="000F5E05"/>
    <w:rsid w:val="00112B02"/>
    <w:rsid w:val="001245CA"/>
    <w:rsid w:val="00160AD3"/>
    <w:rsid w:val="00162DDE"/>
    <w:rsid w:val="0019102C"/>
    <w:rsid w:val="00192DF5"/>
    <w:rsid w:val="00197177"/>
    <w:rsid w:val="001B7215"/>
    <w:rsid w:val="001B7455"/>
    <w:rsid w:val="001C73C4"/>
    <w:rsid w:val="001E6F49"/>
    <w:rsid w:val="00225664"/>
    <w:rsid w:val="00231749"/>
    <w:rsid w:val="002410F5"/>
    <w:rsid w:val="00256313"/>
    <w:rsid w:val="00271B3D"/>
    <w:rsid w:val="0029567D"/>
    <w:rsid w:val="002A6173"/>
    <w:rsid w:val="002E5DAB"/>
    <w:rsid w:val="002F1A03"/>
    <w:rsid w:val="00300981"/>
    <w:rsid w:val="00317C35"/>
    <w:rsid w:val="00320E78"/>
    <w:rsid w:val="003359EA"/>
    <w:rsid w:val="00344A40"/>
    <w:rsid w:val="003905F4"/>
    <w:rsid w:val="0039396F"/>
    <w:rsid w:val="003A163E"/>
    <w:rsid w:val="003C72AC"/>
    <w:rsid w:val="003E0B3F"/>
    <w:rsid w:val="003F1EF7"/>
    <w:rsid w:val="00411F73"/>
    <w:rsid w:val="00412F13"/>
    <w:rsid w:val="00431008"/>
    <w:rsid w:val="004314AC"/>
    <w:rsid w:val="0043588E"/>
    <w:rsid w:val="00450AFE"/>
    <w:rsid w:val="0049133F"/>
    <w:rsid w:val="004A1783"/>
    <w:rsid w:val="004A4643"/>
    <w:rsid w:val="004D0D5C"/>
    <w:rsid w:val="004D2AFD"/>
    <w:rsid w:val="004E4CEA"/>
    <w:rsid w:val="004E6084"/>
    <w:rsid w:val="005056C1"/>
    <w:rsid w:val="00505F59"/>
    <w:rsid w:val="00506703"/>
    <w:rsid w:val="005154CB"/>
    <w:rsid w:val="00531536"/>
    <w:rsid w:val="00536569"/>
    <w:rsid w:val="00537197"/>
    <w:rsid w:val="005451CA"/>
    <w:rsid w:val="00550DE6"/>
    <w:rsid w:val="0056475E"/>
    <w:rsid w:val="00580A23"/>
    <w:rsid w:val="0058346C"/>
    <w:rsid w:val="005840D2"/>
    <w:rsid w:val="00590E3C"/>
    <w:rsid w:val="005935ED"/>
    <w:rsid w:val="005C53B4"/>
    <w:rsid w:val="005D1197"/>
    <w:rsid w:val="005E2A74"/>
    <w:rsid w:val="005E71A2"/>
    <w:rsid w:val="005F0841"/>
    <w:rsid w:val="006129D2"/>
    <w:rsid w:val="00626C98"/>
    <w:rsid w:val="00631EC7"/>
    <w:rsid w:val="006334A2"/>
    <w:rsid w:val="00646BBF"/>
    <w:rsid w:val="006743D4"/>
    <w:rsid w:val="006749D7"/>
    <w:rsid w:val="006842D9"/>
    <w:rsid w:val="00692768"/>
    <w:rsid w:val="00693EDE"/>
    <w:rsid w:val="006A4594"/>
    <w:rsid w:val="006D41D4"/>
    <w:rsid w:val="00710A1B"/>
    <w:rsid w:val="00712DAC"/>
    <w:rsid w:val="00720B7C"/>
    <w:rsid w:val="0075673A"/>
    <w:rsid w:val="007A18AF"/>
    <w:rsid w:val="007C7701"/>
    <w:rsid w:val="007D2978"/>
    <w:rsid w:val="007D4D59"/>
    <w:rsid w:val="007E6C5F"/>
    <w:rsid w:val="007E7609"/>
    <w:rsid w:val="00813B03"/>
    <w:rsid w:val="00824B0F"/>
    <w:rsid w:val="00841BA4"/>
    <w:rsid w:val="008838AC"/>
    <w:rsid w:val="008B5ED1"/>
    <w:rsid w:val="008D5AE7"/>
    <w:rsid w:val="008F5438"/>
    <w:rsid w:val="00900524"/>
    <w:rsid w:val="0090253B"/>
    <w:rsid w:val="00911CB6"/>
    <w:rsid w:val="00915CDF"/>
    <w:rsid w:val="009202E4"/>
    <w:rsid w:val="009711EC"/>
    <w:rsid w:val="00971AD4"/>
    <w:rsid w:val="00975B50"/>
    <w:rsid w:val="00990392"/>
    <w:rsid w:val="00993009"/>
    <w:rsid w:val="00994CA0"/>
    <w:rsid w:val="009A7661"/>
    <w:rsid w:val="009B0249"/>
    <w:rsid w:val="009B406F"/>
    <w:rsid w:val="009D06E1"/>
    <w:rsid w:val="009E2969"/>
    <w:rsid w:val="009E45AC"/>
    <w:rsid w:val="009E7363"/>
    <w:rsid w:val="00A00174"/>
    <w:rsid w:val="00A044FD"/>
    <w:rsid w:val="00A07675"/>
    <w:rsid w:val="00A57276"/>
    <w:rsid w:val="00A62519"/>
    <w:rsid w:val="00A70D42"/>
    <w:rsid w:val="00A7331A"/>
    <w:rsid w:val="00A81C37"/>
    <w:rsid w:val="00A90770"/>
    <w:rsid w:val="00AA0DCA"/>
    <w:rsid w:val="00AC2F34"/>
    <w:rsid w:val="00AF41C1"/>
    <w:rsid w:val="00AF5CB6"/>
    <w:rsid w:val="00B01E41"/>
    <w:rsid w:val="00B31958"/>
    <w:rsid w:val="00B4220B"/>
    <w:rsid w:val="00B42B73"/>
    <w:rsid w:val="00B7135D"/>
    <w:rsid w:val="00B73DB0"/>
    <w:rsid w:val="00B97605"/>
    <w:rsid w:val="00BB42C2"/>
    <w:rsid w:val="00BC26D3"/>
    <w:rsid w:val="00BC4063"/>
    <w:rsid w:val="00BD14C4"/>
    <w:rsid w:val="00BD1E73"/>
    <w:rsid w:val="00BD3F4A"/>
    <w:rsid w:val="00BD73C1"/>
    <w:rsid w:val="00BD7F12"/>
    <w:rsid w:val="00BE10D3"/>
    <w:rsid w:val="00BF5514"/>
    <w:rsid w:val="00C030CF"/>
    <w:rsid w:val="00C17ABC"/>
    <w:rsid w:val="00C345C0"/>
    <w:rsid w:val="00C430A2"/>
    <w:rsid w:val="00C472F9"/>
    <w:rsid w:val="00C500D3"/>
    <w:rsid w:val="00C57415"/>
    <w:rsid w:val="00C60526"/>
    <w:rsid w:val="00C7427A"/>
    <w:rsid w:val="00C906E1"/>
    <w:rsid w:val="00C932B4"/>
    <w:rsid w:val="00CA713E"/>
    <w:rsid w:val="00CB7B1D"/>
    <w:rsid w:val="00CD0D54"/>
    <w:rsid w:val="00CD266C"/>
    <w:rsid w:val="00CF088A"/>
    <w:rsid w:val="00CF6675"/>
    <w:rsid w:val="00D00780"/>
    <w:rsid w:val="00D10168"/>
    <w:rsid w:val="00D179C6"/>
    <w:rsid w:val="00D4533F"/>
    <w:rsid w:val="00D52DF1"/>
    <w:rsid w:val="00D71CEF"/>
    <w:rsid w:val="00D8012D"/>
    <w:rsid w:val="00D8112C"/>
    <w:rsid w:val="00D919D4"/>
    <w:rsid w:val="00DA1E3B"/>
    <w:rsid w:val="00DB070D"/>
    <w:rsid w:val="00DB5F07"/>
    <w:rsid w:val="00DB6264"/>
    <w:rsid w:val="00DD010A"/>
    <w:rsid w:val="00DD134B"/>
    <w:rsid w:val="00DD27AF"/>
    <w:rsid w:val="00DD6D7F"/>
    <w:rsid w:val="00DE7CF0"/>
    <w:rsid w:val="00DF1C82"/>
    <w:rsid w:val="00DF33F9"/>
    <w:rsid w:val="00DF3DB7"/>
    <w:rsid w:val="00DF4ED8"/>
    <w:rsid w:val="00E03737"/>
    <w:rsid w:val="00E05D02"/>
    <w:rsid w:val="00E06624"/>
    <w:rsid w:val="00E2778F"/>
    <w:rsid w:val="00E4386D"/>
    <w:rsid w:val="00E6226A"/>
    <w:rsid w:val="00E66047"/>
    <w:rsid w:val="00E727FC"/>
    <w:rsid w:val="00E77057"/>
    <w:rsid w:val="00E87A50"/>
    <w:rsid w:val="00E924A0"/>
    <w:rsid w:val="00E959FB"/>
    <w:rsid w:val="00EA1751"/>
    <w:rsid w:val="00EC627F"/>
    <w:rsid w:val="00EF1212"/>
    <w:rsid w:val="00EF588D"/>
    <w:rsid w:val="00F0190E"/>
    <w:rsid w:val="00F41B8C"/>
    <w:rsid w:val="00F422CD"/>
    <w:rsid w:val="00F42C02"/>
    <w:rsid w:val="00F450F9"/>
    <w:rsid w:val="00F50CD1"/>
    <w:rsid w:val="00F70174"/>
    <w:rsid w:val="00F72395"/>
    <w:rsid w:val="00F72641"/>
    <w:rsid w:val="00F757BE"/>
    <w:rsid w:val="00F800BB"/>
    <w:rsid w:val="00F81639"/>
    <w:rsid w:val="00F91D5C"/>
    <w:rsid w:val="00FA0CFB"/>
    <w:rsid w:val="00FA4805"/>
    <w:rsid w:val="00FA7229"/>
    <w:rsid w:val="00FC1224"/>
    <w:rsid w:val="00FE3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F0C50"/>
  <w15:docId w15:val="{FC447395-01D4-4108-B2F8-2661330DC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9"/>
    <w:qFormat/>
    <w:pPr>
      <w:keepNext/>
      <w:keepLines/>
      <w:widowControl w:val="0"/>
      <w:spacing w:before="480" w:line="360" w:lineRule="auto"/>
      <w:outlineLvl w:val="0"/>
    </w:pPr>
    <w:rPr>
      <w:rFonts w:asciiTheme="majorHAnsi" w:eastAsiaTheme="majorEastAsia" w:hAnsiTheme="majorHAnsi" w:cstheme="majorBidi"/>
      <w:b/>
      <w:bCs/>
      <w:color w:val="2F5496" w:themeColor="accent1" w:themeShade="BF"/>
      <w:sz w:val="28"/>
      <w:szCs w:val="28"/>
      <w:lang w:eastAsia="ar-SA"/>
    </w:rPr>
  </w:style>
  <w:style w:type="paragraph" w:styleId="Nagwek2">
    <w:name w:val="heading 2"/>
    <w:basedOn w:val="Normalny"/>
    <w:next w:val="Normalny"/>
    <w:link w:val="Nagwek2Znak"/>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pPr>
      <w:keepNext/>
      <w:keepLines/>
      <w:spacing w:before="40"/>
      <w:outlineLvl w:val="2"/>
    </w:pPr>
    <w:rPr>
      <w:rFonts w:asciiTheme="majorHAnsi" w:eastAsiaTheme="majorEastAsia" w:hAnsiTheme="majorHAnsi" w:cstheme="majorBidi"/>
      <w:color w:val="1F3763" w:themeColor="accent1" w:themeShade="7F"/>
    </w:rPr>
  </w:style>
  <w:style w:type="paragraph" w:styleId="Nagwek4">
    <w:name w:val="heading 4"/>
    <w:basedOn w:val="Normalny"/>
    <w:next w:val="Normalny"/>
    <w:link w:val="Nagwek4Znak"/>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ascii="Arial" w:eastAsia="Arial" w:hAnsi="Arial" w:cs="Arial"/>
      <w:color w:val="2F5496" w:themeColor="accent1" w:themeShade="BF"/>
    </w:rPr>
  </w:style>
  <w:style w:type="paragraph" w:styleId="Nagwek6">
    <w:name w:val="heading 6"/>
    <w:basedOn w:val="Normalny"/>
    <w:next w:val="Normalny"/>
    <w:link w:val="Nagwek6Znak"/>
    <w:uiPriority w:val="9"/>
    <w:unhideWhenUsed/>
    <w:qFormat/>
    <w:pPr>
      <w:keepNext/>
      <w:keepLines/>
      <w:spacing w:before="40"/>
      <w:outlineLvl w:val="5"/>
    </w:pPr>
    <w:rPr>
      <w:rFonts w:ascii="Arial" w:eastAsia="Arial" w:hAnsi="Arial" w:cs="Arial"/>
      <w:i/>
      <w:iCs/>
      <w:color w:val="595959" w:themeColor="text1" w:themeTint="A6"/>
    </w:rPr>
  </w:style>
  <w:style w:type="paragraph" w:styleId="Nagwek7">
    <w:name w:val="heading 7"/>
    <w:basedOn w:val="Normalny"/>
    <w:next w:val="Normalny"/>
    <w:link w:val="Nagwek7Znak"/>
    <w:uiPriority w:val="9"/>
    <w:unhideWhenUsed/>
    <w:qFormat/>
    <w:pPr>
      <w:keepNext/>
      <w:keepLines/>
      <w:spacing w:before="40"/>
      <w:outlineLvl w:val="6"/>
    </w:pPr>
    <w:rPr>
      <w:rFonts w:ascii="Arial" w:eastAsia="Arial" w:hAnsi="Arial" w:cs="Arial"/>
      <w:color w:val="595959" w:themeColor="text1" w:themeTint="A6"/>
    </w:rPr>
  </w:style>
  <w:style w:type="paragraph" w:styleId="Nagwek8">
    <w:name w:val="heading 8"/>
    <w:basedOn w:val="Normalny"/>
    <w:next w:val="Normalny"/>
    <w:link w:val="Nagwek8Znak"/>
    <w:uiPriority w:val="9"/>
    <w:unhideWhenUsed/>
    <w:qFormat/>
    <w:pPr>
      <w:keepNext/>
      <w:keepLines/>
      <w:outlineLvl w:val="7"/>
    </w:pPr>
    <w:rPr>
      <w:rFonts w:ascii="Arial" w:eastAsia="Arial" w:hAnsi="Arial" w:cs="Arial"/>
      <w:i/>
      <w:iCs/>
      <w:color w:val="272727" w:themeColor="text1" w:themeTint="D8"/>
    </w:rPr>
  </w:style>
  <w:style w:type="paragraph" w:styleId="Nagwek9">
    <w:name w:val="heading 9"/>
    <w:basedOn w:val="Normalny"/>
    <w:next w:val="Normalny"/>
    <w:link w:val="Nagwek9Znak"/>
    <w:uiPriority w:val="9"/>
    <w:unhideWhenUsed/>
    <w:qFormat/>
    <w:pPr>
      <w:keepNext/>
      <w:keepLines/>
      <w:outlineLvl w:val="8"/>
    </w:pPr>
    <w:rPr>
      <w:rFonts w:ascii="Arial" w:eastAsia="Arial" w:hAnsi="Arial" w:cs="Arial"/>
      <w:i/>
      <w:iCs/>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5Char">
    <w:name w:val="Heading 5 Char"/>
    <w:basedOn w:val="Domylnaczcionkaakapitu"/>
    <w:uiPriority w:val="9"/>
    <w:rPr>
      <w:rFonts w:ascii="Arial" w:eastAsia="Arial" w:hAnsi="Arial" w:cs="Arial"/>
      <w:color w:val="2F5496" w:themeColor="accent1" w:themeShade="BF"/>
    </w:rPr>
  </w:style>
  <w:style w:type="character" w:customStyle="1" w:styleId="Heading6Char">
    <w:name w:val="Heading 6 Char"/>
    <w:basedOn w:val="Domylnaczcionkaakapitu"/>
    <w:uiPriority w:val="9"/>
    <w:rPr>
      <w:rFonts w:ascii="Arial" w:eastAsia="Arial" w:hAnsi="Arial" w:cs="Arial"/>
      <w:i/>
      <w:iCs/>
      <w:color w:val="595959" w:themeColor="text1" w:themeTint="A6"/>
    </w:rPr>
  </w:style>
  <w:style w:type="character" w:customStyle="1" w:styleId="Heading7Char">
    <w:name w:val="Heading 7 Char"/>
    <w:basedOn w:val="Domylnaczcionkaakapitu"/>
    <w:uiPriority w:val="9"/>
    <w:rPr>
      <w:rFonts w:ascii="Arial" w:eastAsia="Arial" w:hAnsi="Arial" w:cs="Arial"/>
      <w:color w:val="595959" w:themeColor="text1" w:themeTint="A6"/>
    </w:rPr>
  </w:style>
  <w:style w:type="character" w:customStyle="1" w:styleId="Heading8Char">
    <w:name w:val="Heading 8 Char"/>
    <w:basedOn w:val="Domylnaczcionkaakapitu"/>
    <w:uiPriority w:val="9"/>
    <w:rPr>
      <w:rFonts w:ascii="Arial" w:eastAsia="Arial" w:hAnsi="Arial" w:cs="Arial"/>
      <w:i/>
      <w:iCs/>
      <w:color w:val="272727" w:themeColor="text1" w:themeTint="D8"/>
    </w:rPr>
  </w:style>
  <w:style w:type="character" w:customStyle="1" w:styleId="Heading9Char">
    <w:name w:val="Heading 9 Char"/>
    <w:basedOn w:val="Domylnaczcionkaakapitu"/>
    <w:uiPriority w:val="9"/>
    <w:rPr>
      <w:rFonts w:ascii="Arial" w:eastAsia="Arial" w:hAnsi="Arial" w:cs="Arial"/>
      <w:i/>
      <w:iCs/>
      <w:color w:val="272727" w:themeColor="text1" w:themeTint="D8"/>
    </w:rPr>
  </w:style>
  <w:style w:type="character" w:customStyle="1" w:styleId="TitleChar">
    <w:name w:val="Title Char"/>
    <w:basedOn w:val="Domylnaczcionkaakapitu"/>
    <w:uiPriority w:val="10"/>
    <w:rPr>
      <w:rFonts w:ascii="Arial" w:eastAsia="Arial" w:hAnsi="Arial" w:cs="Arial"/>
      <w:spacing w:val="-10"/>
      <w:sz w:val="56"/>
      <w:szCs w:val="56"/>
    </w:rPr>
  </w:style>
  <w:style w:type="character" w:customStyle="1" w:styleId="SubtitleChar">
    <w:name w:val="Subtitle Char"/>
    <w:basedOn w:val="Domylnaczcionkaakapitu"/>
    <w:uiPriority w:val="11"/>
    <w:rPr>
      <w:color w:val="595959" w:themeColor="text1" w:themeTint="A6"/>
      <w:spacing w:val="15"/>
      <w:sz w:val="28"/>
      <w:szCs w:val="28"/>
    </w:rPr>
  </w:style>
  <w:style w:type="character" w:customStyle="1" w:styleId="QuoteChar">
    <w:name w:val="Quote Char"/>
    <w:basedOn w:val="Domylnaczcionkaakapitu"/>
    <w:uiPriority w:val="29"/>
    <w:rPr>
      <w:i/>
      <w:iCs/>
      <w:color w:val="404040" w:themeColor="text1" w:themeTint="BF"/>
    </w:rPr>
  </w:style>
  <w:style w:type="character" w:customStyle="1" w:styleId="IntenseQuoteChar">
    <w:name w:val="Intense Quote Char"/>
    <w:basedOn w:val="Domylnaczcionkaakapitu"/>
    <w:uiPriority w:val="30"/>
    <w:rPr>
      <w:i/>
      <w:iCs/>
      <w:color w:val="2F5496" w:themeColor="accent1" w:themeShade="BF"/>
    </w:rPr>
  </w:style>
  <w:style w:type="table" w:customStyle="1" w:styleId="TableGridLight">
    <w:name w:val="Table Grid Light"/>
    <w:basedOn w:val="Standardowy"/>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Zwykatabela1">
    <w:name w:val="Plain Table 1"/>
    <w:basedOn w:val="Standardowy"/>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Zwykatabela2">
    <w:name w:val="Plain Table 2"/>
    <w:basedOn w:val="Standardowy"/>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Zwykatabela3">
    <w:name w:val="Plain Table 3"/>
    <w:basedOn w:val="Standardowy"/>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Zwykatabela4">
    <w:name w:val="Plain Table 4"/>
    <w:basedOn w:val="Standardowy"/>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Zwykatabela5">
    <w:name w:val="Plain Table 5"/>
    <w:basedOn w:val="Standardowy"/>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atki1jasna">
    <w:name w:val="Grid Table 1 Light"/>
    <w:basedOn w:val="Standardowy"/>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Standardowy"/>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Standardowy"/>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Standardowy"/>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Standardowy"/>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Standardowy"/>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Standardowy"/>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asiatki2">
    <w:name w:val="Grid Table 2"/>
    <w:basedOn w:val="Standardowy"/>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Standardowy"/>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Standardowy"/>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Standardowy"/>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Standardowy"/>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Standardowy"/>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Standardowy"/>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siatki3">
    <w:name w:val="Grid Table 3"/>
    <w:basedOn w:val="Standardowy"/>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Standardowy"/>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Standardowy"/>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Standardowy"/>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Standardowy"/>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Standardowy"/>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Standardowy"/>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siatki4">
    <w:name w:val="Grid Table 4"/>
    <w:basedOn w:val="Standardowy"/>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Standardowy"/>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Standardowy"/>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Standardowy"/>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Standardowy"/>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Standardowy"/>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Standardowy"/>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siatki5ciemna">
    <w:name w:val="Grid Table 5 Dark"/>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asiatki6kolorowa">
    <w:name w:val="Grid Table 6 Colorful"/>
    <w:basedOn w:val="Standardowy"/>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Standardowy"/>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Standardowy"/>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Standardowy"/>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Standardowy"/>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Standardowy"/>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Standardowy"/>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asiatki7kolorowa">
    <w:name w:val="Grid Table 7 Colorful"/>
    <w:basedOn w:val="Standardowy"/>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Standardowy"/>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Standardowy"/>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Standardowy"/>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Standardowy"/>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Standardowy"/>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Standardowy"/>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alisty1jasna">
    <w:name w:val="List Table 1 Light"/>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alisty2">
    <w:name w:val="List Table 2"/>
    <w:basedOn w:val="Standardowy"/>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Standardowy"/>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Standardowy"/>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Standardowy"/>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Standardowy"/>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Standardowy"/>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Standardowy"/>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listy3">
    <w:name w:val="List Table 3"/>
    <w:basedOn w:val="Standardowy"/>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Standardowy"/>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Standardowy"/>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Standardowy"/>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Standardowy"/>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Standardowy"/>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Standardowy"/>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elalisty4">
    <w:name w:val="List Table 4"/>
    <w:basedOn w:val="Standardowy"/>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Standardowy"/>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Standardowy"/>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Standardowy"/>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Standardowy"/>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Standardowy"/>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Standardowy"/>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listy5ciemna">
    <w:name w:val="List Table 5 Dark"/>
    <w:basedOn w:val="Standardowy"/>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Standardowy"/>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Standardowy"/>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Standardowy"/>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Standardowy"/>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Standardowy"/>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Standardowy"/>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alisty6kolorowa">
    <w:name w:val="List Table 6 Colorful"/>
    <w:basedOn w:val="Standardowy"/>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Standardowy"/>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Standardowy"/>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Standardowy"/>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Standardowy"/>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Standardowy"/>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Standardowy"/>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alisty7kolorowa">
    <w:name w:val="List Table 7 Colorful"/>
    <w:basedOn w:val="Standardowy"/>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Standardowy"/>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Standardowy"/>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Standardowy"/>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Standardowy"/>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Standardowy"/>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Standardowy"/>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Standardowy"/>
    <w:uiPriority w:val="99"/>
    <w:rPr>
      <w:color w:val="404040"/>
      <w:sz w:val="20"/>
      <w:szCs w:val="20"/>
      <w:lang w:eastAsia="pl-PL"/>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Standardowy"/>
    <w:uiPriority w:val="99"/>
    <w:rPr>
      <w:color w:val="404040"/>
      <w:sz w:val="20"/>
      <w:szCs w:val="20"/>
      <w:lang w:eastAsia="pl-PL"/>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Standardowy"/>
    <w:uiPriority w:val="99"/>
    <w:rPr>
      <w:color w:val="404040"/>
      <w:sz w:val="20"/>
      <w:szCs w:val="20"/>
      <w:lang w:eastAsia="pl-PL"/>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Standardowy"/>
    <w:uiPriority w:val="99"/>
    <w:rPr>
      <w:color w:val="404040"/>
      <w:sz w:val="20"/>
      <w:szCs w:val="20"/>
      <w:lang w:eastAsia="pl-PL"/>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Standardowy"/>
    <w:uiPriority w:val="99"/>
    <w:rPr>
      <w:color w:val="404040"/>
      <w:sz w:val="20"/>
      <w:szCs w:val="20"/>
      <w:lang w:eastAsia="pl-PL"/>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Standardowy"/>
    <w:uiPriority w:val="99"/>
    <w:rPr>
      <w:color w:val="404040"/>
      <w:sz w:val="20"/>
      <w:szCs w:val="20"/>
      <w:lang w:eastAsia="pl-PL"/>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Standardowy"/>
    <w:uiPriority w:val="99"/>
    <w:rPr>
      <w:color w:val="404040"/>
      <w:sz w:val="20"/>
      <w:szCs w:val="20"/>
      <w:lang w:eastAsia="pl-PL"/>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Standardowy"/>
    <w:uiPriority w:val="99"/>
    <w:rPr>
      <w:color w:val="404040"/>
      <w:sz w:val="20"/>
      <w:szCs w:val="20"/>
      <w:lang w:eastAsia="pl-PL"/>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Standardowy"/>
    <w:uiPriority w:val="99"/>
    <w:rPr>
      <w:color w:val="404040"/>
      <w:sz w:val="20"/>
      <w:szCs w:val="20"/>
      <w:lang w:eastAsia="pl-PL"/>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Standardowy"/>
    <w:uiPriority w:val="99"/>
    <w:rPr>
      <w:color w:val="404040"/>
      <w:sz w:val="20"/>
      <w:szCs w:val="20"/>
      <w:lang w:eastAsia="pl-PL"/>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Standardowy"/>
    <w:uiPriority w:val="99"/>
    <w:rPr>
      <w:color w:val="404040"/>
      <w:sz w:val="20"/>
      <w:szCs w:val="20"/>
      <w:lang w:eastAsia="pl-PL"/>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Standardowy"/>
    <w:uiPriority w:val="99"/>
    <w:rPr>
      <w:color w:val="404040"/>
      <w:sz w:val="20"/>
      <w:szCs w:val="20"/>
      <w:lang w:eastAsia="pl-PL"/>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Standardowy"/>
    <w:uiPriority w:val="99"/>
    <w:rPr>
      <w:color w:val="404040"/>
      <w:sz w:val="20"/>
      <w:szCs w:val="20"/>
      <w:lang w:eastAsia="pl-PL"/>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Standardowy"/>
    <w:uiPriority w:val="99"/>
    <w:rPr>
      <w:color w:val="404040"/>
      <w:sz w:val="20"/>
      <w:szCs w:val="20"/>
      <w:lang w:eastAsia="pl-PL"/>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Standardowy"/>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Standardowy"/>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Standardowy"/>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Standardowy"/>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Standardowy"/>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Standardowy"/>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Standardowy"/>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omylnaczcionkaakapitu"/>
    <w:uiPriority w:val="9"/>
    <w:rPr>
      <w:rFonts w:ascii="Arial" w:eastAsia="Arial" w:hAnsi="Arial" w:cs="Arial"/>
      <w:color w:val="2F5496" w:themeColor="accent1" w:themeShade="BF"/>
      <w:sz w:val="40"/>
      <w:szCs w:val="40"/>
    </w:rPr>
  </w:style>
  <w:style w:type="character" w:customStyle="1" w:styleId="Heading2Char">
    <w:name w:val="Heading 2 Char"/>
    <w:basedOn w:val="Domylnaczcionkaakapitu"/>
    <w:uiPriority w:val="9"/>
    <w:rPr>
      <w:rFonts w:ascii="Arial" w:eastAsia="Arial" w:hAnsi="Arial" w:cs="Arial"/>
      <w:color w:val="2F5496" w:themeColor="accent1" w:themeShade="BF"/>
      <w:sz w:val="32"/>
      <w:szCs w:val="32"/>
    </w:rPr>
  </w:style>
  <w:style w:type="character" w:customStyle="1" w:styleId="Heading3Char">
    <w:name w:val="Heading 3 Char"/>
    <w:basedOn w:val="Domylnaczcionkaakapitu"/>
    <w:uiPriority w:val="9"/>
    <w:rPr>
      <w:rFonts w:ascii="Arial" w:eastAsia="Arial" w:hAnsi="Arial" w:cs="Arial"/>
      <w:color w:val="2F5496" w:themeColor="accent1" w:themeShade="BF"/>
      <w:sz w:val="28"/>
      <w:szCs w:val="28"/>
    </w:rPr>
  </w:style>
  <w:style w:type="character" w:customStyle="1" w:styleId="Heading4Char">
    <w:name w:val="Heading 4 Char"/>
    <w:basedOn w:val="Domylnaczcionkaakapitu"/>
    <w:uiPriority w:val="9"/>
    <w:rPr>
      <w:rFonts w:ascii="Arial" w:eastAsia="Arial" w:hAnsi="Arial" w:cs="Arial"/>
      <w:i/>
      <w:iCs/>
      <w:color w:val="2F5496" w:themeColor="accent1" w:themeShade="BF"/>
    </w:rPr>
  </w:style>
  <w:style w:type="character" w:customStyle="1" w:styleId="Nagwek5Znak">
    <w:name w:val="Nagłówek 5 Znak"/>
    <w:basedOn w:val="Domylnaczcionkaakapitu"/>
    <w:link w:val="Nagwek5"/>
    <w:uiPriority w:val="9"/>
    <w:rPr>
      <w:rFonts w:ascii="Arial" w:eastAsia="Arial" w:hAnsi="Arial" w:cs="Arial"/>
      <w:color w:val="2F5496" w:themeColor="accent1" w:themeShade="BF"/>
    </w:rPr>
  </w:style>
  <w:style w:type="character" w:customStyle="1" w:styleId="Nagwek6Znak">
    <w:name w:val="Nagłówek 6 Znak"/>
    <w:basedOn w:val="Domylnaczcionkaakapitu"/>
    <w:link w:val="Nagwek6"/>
    <w:uiPriority w:val="9"/>
    <w:rPr>
      <w:rFonts w:ascii="Arial" w:eastAsia="Arial" w:hAnsi="Arial" w:cs="Arial"/>
      <w:i/>
      <w:iCs/>
      <w:color w:val="595959" w:themeColor="text1" w:themeTint="A6"/>
    </w:rPr>
  </w:style>
  <w:style w:type="character" w:customStyle="1" w:styleId="Nagwek7Znak">
    <w:name w:val="Nagłówek 7 Znak"/>
    <w:basedOn w:val="Domylnaczcionkaakapitu"/>
    <w:link w:val="Nagwek7"/>
    <w:uiPriority w:val="9"/>
    <w:rPr>
      <w:rFonts w:ascii="Arial" w:eastAsia="Arial" w:hAnsi="Arial" w:cs="Arial"/>
      <w:color w:val="595959" w:themeColor="text1" w:themeTint="A6"/>
    </w:rPr>
  </w:style>
  <w:style w:type="character" w:customStyle="1" w:styleId="Nagwek8Znak">
    <w:name w:val="Nagłówek 8 Znak"/>
    <w:basedOn w:val="Domylnaczcionkaakapitu"/>
    <w:link w:val="Nagwek8"/>
    <w:uiPriority w:val="9"/>
    <w:rPr>
      <w:rFonts w:ascii="Arial" w:eastAsia="Arial" w:hAnsi="Arial" w:cs="Arial"/>
      <w:i/>
      <w:iCs/>
      <w:color w:val="272727" w:themeColor="text1" w:themeTint="D8"/>
    </w:rPr>
  </w:style>
  <w:style w:type="character" w:customStyle="1" w:styleId="Nagwek9Znak">
    <w:name w:val="Nagłówek 9 Znak"/>
    <w:basedOn w:val="Domylnaczcionkaakapitu"/>
    <w:link w:val="Nagwek9"/>
    <w:uiPriority w:val="9"/>
    <w:rPr>
      <w:rFonts w:ascii="Arial" w:eastAsia="Arial" w:hAnsi="Arial" w:cs="Arial"/>
      <w:i/>
      <w:iCs/>
      <w:color w:val="272727" w:themeColor="text1" w:themeTint="D8"/>
    </w:rPr>
  </w:style>
  <w:style w:type="paragraph" w:styleId="Tytu">
    <w:name w:val="Title"/>
    <w:basedOn w:val="Normalny"/>
    <w:next w:val="Normalny"/>
    <w:link w:val="TytuZnak"/>
    <w:uiPriority w:val="10"/>
    <w:qFormat/>
    <w:pPr>
      <w:spacing w:after="80"/>
      <w:contextualSpacing/>
    </w:pPr>
    <w:rPr>
      <w:rFonts w:ascii="Arial" w:eastAsia="Arial" w:hAnsi="Arial" w:cs="Arial"/>
      <w:spacing w:val="-10"/>
      <w:sz w:val="56"/>
      <w:szCs w:val="56"/>
    </w:rPr>
  </w:style>
  <w:style w:type="character" w:customStyle="1" w:styleId="TytuZnak">
    <w:name w:val="Tytuł Znak"/>
    <w:basedOn w:val="Domylnaczcionkaakapitu"/>
    <w:link w:val="Tytu"/>
    <w:uiPriority w:val="10"/>
    <w:rPr>
      <w:rFonts w:ascii="Arial" w:eastAsia="Arial" w:hAnsi="Arial" w:cs="Arial"/>
      <w:spacing w:val="-10"/>
      <w:sz w:val="56"/>
      <w:szCs w:val="56"/>
    </w:rPr>
  </w:style>
  <w:style w:type="paragraph" w:styleId="Podtytu">
    <w:name w:val="Subtitle"/>
    <w:basedOn w:val="Normalny"/>
    <w:next w:val="Normalny"/>
    <w:link w:val="PodtytuZnak"/>
    <w:uiPriority w:val="11"/>
    <w:qFormat/>
    <w:pPr>
      <w:numPr>
        <w:ilvl w:val="1"/>
      </w:numPr>
    </w:pPr>
    <w:rPr>
      <w:color w:val="595959" w:themeColor="text1" w:themeTint="A6"/>
      <w:spacing w:val="15"/>
      <w:sz w:val="28"/>
      <w:szCs w:val="28"/>
    </w:rPr>
  </w:style>
  <w:style w:type="character" w:customStyle="1" w:styleId="PodtytuZnak">
    <w:name w:val="Podtytuł Znak"/>
    <w:basedOn w:val="Domylnaczcionkaakapitu"/>
    <w:link w:val="Podtytu"/>
    <w:uiPriority w:val="11"/>
    <w:rPr>
      <w:color w:val="595959" w:themeColor="text1" w:themeTint="A6"/>
      <w:spacing w:val="15"/>
      <w:sz w:val="28"/>
      <w:szCs w:val="28"/>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Znak">
    <w:name w:val="Cytat Znak"/>
    <w:basedOn w:val="Domylnaczcionkaakapitu"/>
    <w:link w:val="Cytat"/>
    <w:uiPriority w:val="29"/>
    <w:rPr>
      <w:i/>
      <w:iCs/>
      <w:color w:val="404040" w:themeColor="text1" w:themeTint="BF"/>
    </w:rPr>
  </w:style>
  <w:style w:type="character" w:styleId="Wyrnienieintensywne">
    <w:name w:val="Intense Emphasis"/>
    <w:basedOn w:val="Domylnaczcionkaakapitu"/>
    <w:uiPriority w:val="21"/>
    <w:qFormat/>
    <w:rPr>
      <w:i/>
      <w:iCs/>
      <w:color w:val="2F5496" w:themeColor="accent1" w:themeShade="BF"/>
    </w:rPr>
  </w:style>
  <w:style w:type="paragraph" w:styleId="Cytatintensywny">
    <w:name w:val="Intense Quote"/>
    <w:basedOn w:val="Normalny"/>
    <w:next w:val="Normalny"/>
    <w:link w:val="CytatintensywnyZnak"/>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Pr>
      <w:i/>
      <w:iCs/>
      <w:color w:val="2F5496" w:themeColor="accent1" w:themeShade="BF"/>
    </w:rPr>
  </w:style>
  <w:style w:type="character" w:styleId="Odwoanieintensywne">
    <w:name w:val="Intense Reference"/>
    <w:basedOn w:val="Domylnaczcionkaakapitu"/>
    <w:uiPriority w:val="32"/>
    <w:qFormat/>
    <w:rPr>
      <w:b/>
      <w:bCs/>
      <w:smallCaps/>
      <w:color w:val="2F5496" w:themeColor="accent1" w:themeShade="BF"/>
      <w:spacing w:val="5"/>
    </w:rPr>
  </w:style>
  <w:style w:type="character" w:styleId="Wyrnieniedelikatne">
    <w:name w:val="Subtle Emphasis"/>
    <w:basedOn w:val="Domylnaczcionkaakapitu"/>
    <w:uiPriority w:val="19"/>
    <w:qFormat/>
    <w:rPr>
      <w:i/>
      <w:iCs/>
      <w:color w:val="404040" w:themeColor="text1" w:themeTint="BF"/>
    </w:rPr>
  </w:style>
  <w:style w:type="character" w:styleId="Uwydatnienie">
    <w:name w:val="Emphasis"/>
    <w:basedOn w:val="Domylnaczcionkaakapitu"/>
    <w:uiPriority w:val="20"/>
    <w:qFormat/>
    <w:rPr>
      <w:i/>
      <w:iCs/>
    </w:rPr>
  </w:style>
  <w:style w:type="character" w:styleId="Odwoaniedelikatne">
    <w:name w:val="Subtle Reference"/>
    <w:basedOn w:val="Domylnaczcionkaakapitu"/>
    <w:uiPriority w:val="31"/>
    <w:qFormat/>
    <w:rPr>
      <w:smallCaps/>
      <w:color w:val="5A5A5A" w:themeColor="text1" w:themeTint="A5"/>
    </w:rPr>
  </w:style>
  <w:style w:type="character" w:styleId="Tytuksiki">
    <w:name w:val="Book Title"/>
    <w:basedOn w:val="Domylnaczcionkaakapitu"/>
    <w:uiPriority w:val="33"/>
    <w:qFormat/>
    <w:rPr>
      <w:b/>
      <w:bCs/>
      <w:i/>
      <w:iCs/>
      <w:spacing w:val="5"/>
    </w:rPr>
  </w:style>
  <w:style w:type="character" w:customStyle="1" w:styleId="HeaderChar">
    <w:name w:val="Header Char"/>
    <w:basedOn w:val="Domylnaczcionkaakapitu"/>
    <w:uiPriority w:val="99"/>
  </w:style>
  <w:style w:type="character" w:customStyle="1" w:styleId="FooterChar">
    <w:name w:val="Footer Char"/>
    <w:basedOn w:val="Domylnaczcionkaakapitu"/>
    <w:uiPriority w:val="99"/>
  </w:style>
  <w:style w:type="character" w:customStyle="1" w:styleId="FootnoteTextChar">
    <w:name w:val="Footnote Text Char"/>
    <w:basedOn w:val="Domylnaczcionkaakapitu"/>
    <w:uiPriority w:val="99"/>
    <w:semiHidden/>
    <w:rPr>
      <w:sz w:val="20"/>
      <w:szCs w:val="20"/>
    </w:rPr>
  </w:style>
  <w:style w:type="character" w:customStyle="1" w:styleId="EndnoteTextChar">
    <w:name w:val="Endnote Text Char"/>
    <w:basedOn w:val="Domylnaczcionkaakapitu"/>
    <w:uiPriority w:val="99"/>
    <w:semiHidden/>
    <w:rPr>
      <w:sz w:val="20"/>
      <w:szCs w:val="20"/>
    </w:rPr>
  </w:style>
  <w:style w:type="character" w:styleId="UyteHipercze">
    <w:name w:val="FollowedHyperlink"/>
    <w:basedOn w:val="Domylnaczcionkaakapitu"/>
    <w:uiPriority w:val="99"/>
    <w:semiHidden/>
    <w:unhideWhenUsed/>
    <w:rPr>
      <w:color w:val="954F72" w:themeColor="followedHyperlink"/>
      <w:u w:val="single"/>
    </w:rPr>
  </w:style>
  <w:style w:type="paragraph" w:styleId="Spistreci1">
    <w:name w:val="toc 1"/>
    <w:basedOn w:val="Normalny"/>
    <w:next w:val="Normalny"/>
    <w:uiPriority w:val="39"/>
    <w:unhideWhenUsed/>
    <w:pPr>
      <w:spacing w:after="100"/>
    </w:pPr>
  </w:style>
  <w:style w:type="paragraph" w:styleId="Spistreci2">
    <w:name w:val="toc 2"/>
    <w:basedOn w:val="Normalny"/>
    <w:next w:val="Normalny"/>
    <w:uiPriority w:val="39"/>
    <w:unhideWhenUsed/>
    <w:pPr>
      <w:spacing w:after="100"/>
      <w:ind w:left="220"/>
    </w:pPr>
  </w:style>
  <w:style w:type="paragraph" w:styleId="Spistreci3">
    <w:name w:val="toc 3"/>
    <w:basedOn w:val="Normalny"/>
    <w:next w:val="Normalny"/>
    <w:uiPriority w:val="39"/>
    <w:unhideWhenUsed/>
    <w:pPr>
      <w:spacing w:after="100"/>
      <w:ind w:left="440"/>
    </w:pPr>
  </w:style>
  <w:style w:type="paragraph" w:styleId="Spistreci4">
    <w:name w:val="toc 4"/>
    <w:basedOn w:val="Normalny"/>
    <w:next w:val="Normalny"/>
    <w:uiPriority w:val="39"/>
    <w:unhideWhenUsed/>
    <w:pPr>
      <w:spacing w:after="100"/>
      <w:ind w:left="660"/>
    </w:pPr>
  </w:style>
  <w:style w:type="paragraph" w:styleId="Spistreci5">
    <w:name w:val="toc 5"/>
    <w:basedOn w:val="Normalny"/>
    <w:next w:val="Normalny"/>
    <w:uiPriority w:val="39"/>
    <w:unhideWhenUsed/>
    <w:pPr>
      <w:spacing w:after="100"/>
      <w:ind w:left="880"/>
    </w:pPr>
  </w:style>
  <w:style w:type="paragraph" w:styleId="Spistreci6">
    <w:name w:val="toc 6"/>
    <w:basedOn w:val="Normalny"/>
    <w:next w:val="Normalny"/>
    <w:uiPriority w:val="39"/>
    <w:unhideWhenUsed/>
    <w:pPr>
      <w:spacing w:after="100"/>
      <w:ind w:left="1100"/>
    </w:pPr>
  </w:style>
  <w:style w:type="paragraph" w:styleId="Spistreci7">
    <w:name w:val="toc 7"/>
    <w:basedOn w:val="Normalny"/>
    <w:next w:val="Normalny"/>
    <w:uiPriority w:val="39"/>
    <w:unhideWhenUsed/>
    <w:pPr>
      <w:spacing w:after="100"/>
      <w:ind w:left="1320"/>
    </w:pPr>
  </w:style>
  <w:style w:type="paragraph" w:styleId="Spistreci8">
    <w:name w:val="toc 8"/>
    <w:basedOn w:val="Normalny"/>
    <w:next w:val="Normalny"/>
    <w:uiPriority w:val="39"/>
    <w:unhideWhenUsed/>
    <w:pPr>
      <w:spacing w:after="100"/>
      <w:ind w:left="1540"/>
    </w:pPr>
  </w:style>
  <w:style w:type="paragraph" w:styleId="Spistreci9">
    <w:name w:val="toc 9"/>
    <w:basedOn w:val="Normalny"/>
    <w:next w:val="Normalny"/>
    <w:uiPriority w:val="39"/>
    <w:unhideWhenUsed/>
    <w:pPr>
      <w:spacing w:after="100"/>
      <w:ind w:left="1760"/>
    </w:pPr>
  </w:style>
  <w:style w:type="paragraph" w:styleId="Nagwekspisutreci">
    <w:name w:val="TOC Heading"/>
    <w:uiPriority w:val="39"/>
    <w:unhideWhenUsed/>
  </w:style>
  <w:style w:type="paragraph" w:styleId="Spisilustracji">
    <w:name w:val="table of figures"/>
    <w:basedOn w:val="Normalny"/>
    <w:next w:val="Normalny"/>
    <w:uiPriority w:val="99"/>
    <w:unhideWhenUsed/>
  </w:style>
  <w:style w:type="paragraph" w:styleId="NormalnyWeb">
    <w:name w:val="Normal (Web)"/>
    <w:basedOn w:val="Normalny"/>
    <w:uiPriority w:val="99"/>
    <w:semiHidden/>
    <w:unhideWhenUsed/>
    <w:pPr>
      <w:spacing w:before="100" w:beforeAutospacing="1" w:after="100" w:afterAutospacing="1"/>
    </w:pPr>
    <w:rPr>
      <w:rFonts w:ascii="Times New Roman" w:eastAsia="Times New Roman" w:hAnsi="Times New Roman" w:cs="Times New Roman"/>
      <w:lang w:eastAsia="pl-PL"/>
    </w:rPr>
  </w:style>
  <w:style w:type="character" w:customStyle="1" w:styleId="apple-converted-space">
    <w:name w:val="apple-converted-space"/>
    <w:basedOn w:val="Domylnaczcionkaakapitu"/>
  </w:style>
  <w:style w:type="character" w:styleId="Pogrubienie">
    <w:name w:val="Strong"/>
    <w:basedOn w:val="Domylnaczcionkaakapitu"/>
    <w:uiPriority w:val="22"/>
    <w:qFormat/>
    <w:rPr>
      <w:b/>
      <w:bCs/>
    </w:rPr>
  </w:style>
  <w:style w:type="paragraph" w:customStyle="1" w:styleId="CZKSIGAoznaczenieiprzedmiotczcilubksigi">
    <w:name w:val="CZĘŚĆ(KSIĘGA) – oznaczenie i przedmiot części lub księgi"/>
    <w:uiPriority w:val="8"/>
    <w:qFormat/>
    <w:pPr>
      <w:keepNext/>
      <w:spacing w:before="120"/>
      <w:jc w:val="center"/>
    </w:pPr>
    <w:rPr>
      <w:rFonts w:ascii="Times" w:eastAsia="Times New Roman" w:hAnsi="Times" w:cs="Times New Roman"/>
      <w:b/>
      <w:bCs/>
      <w:caps/>
      <w:lang w:eastAsia="pl-PL"/>
    </w:rPr>
  </w:style>
  <w:style w:type="paragraph" w:customStyle="1" w:styleId="NIEARTTEKSTtekstnieartykuowanynppodstprawnarozplubpreambua">
    <w:name w:val="NIEART_TEKST – tekst nieartykułowany (np. podst. prawna rozp. lub preambuła)"/>
    <w:basedOn w:val="Normalny"/>
    <w:uiPriority w:val="7"/>
    <w:qFormat/>
    <w:pPr>
      <w:spacing w:before="120"/>
      <w:ind w:firstLine="510"/>
      <w:jc w:val="both"/>
    </w:pPr>
    <w:rPr>
      <w:rFonts w:ascii="Times" w:eastAsiaTheme="minorEastAsia" w:hAnsi="Times" w:cs="Arial"/>
      <w:bCs/>
      <w:szCs w:val="20"/>
      <w:lang w:eastAsia="pl-PL"/>
    </w:rPr>
  </w:style>
  <w:style w:type="character" w:customStyle="1" w:styleId="Nagwek1Znak">
    <w:name w:val="Nagłówek 1 Znak"/>
    <w:basedOn w:val="Domylnaczcionkaakapitu"/>
    <w:link w:val="Nagwek1"/>
    <w:uiPriority w:val="99"/>
    <w:qFormat/>
    <w:rPr>
      <w:rFonts w:asciiTheme="majorHAnsi" w:eastAsiaTheme="majorEastAsia" w:hAnsiTheme="majorHAnsi" w:cstheme="majorBidi"/>
      <w:b/>
      <w:bCs/>
      <w:color w:val="2F5496" w:themeColor="accent1" w:themeShade="BF"/>
      <w:sz w:val="28"/>
      <w:szCs w:val="28"/>
      <w:lang w:eastAsia="ar-SA"/>
    </w:rPr>
  </w:style>
  <w:style w:type="character" w:customStyle="1" w:styleId="Zakotwiczenieprzypisudolnego">
    <w:name w:val="Zakotwiczenie przypisu dolnego"/>
    <w:rPr>
      <w:rFonts w:cs="Times New Roman"/>
      <w:vertAlign w:val="superscript"/>
    </w:rPr>
  </w:style>
  <w:style w:type="character" w:customStyle="1" w:styleId="FootnoteCharacters">
    <w:name w:val="Footnote Characters"/>
    <w:uiPriority w:val="99"/>
    <w:semiHidden/>
    <w:qFormat/>
    <w:rPr>
      <w:rFonts w:cs="Times New Roman"/>
      <w:vertAlign w:val="superscript"/>
    </w:rPr>
  </w:style>
  <w:style w:type="character" w:customStyle="1" w:styleId="NagwekZnak">
    <w:name w:val="Nagłówek Znak"/>
    <w:link w:val="Nagwek"/>
    <w:uiPriority w:val="99"/>
    <w:semiHidden/>
    <w:qFormat/>
    <w:rPr>
      <w:rFonts w:eastAsiaTheme="minorEastAsia" w:cs="Arial"/>
      <w:sz w:val="20"/>
      <w:szCs w:val="20"/>
      <w:lang w:eastAsia="ar-SA"/>
    </w:rPr>
  </w:style>
  <w:style w:type="character" w:customStyle="1" w:styleId="StopkaZnak">
    <w:name w:val="Stopka Znak"/>
    <w:link w:val="Stopka"/>
    <w:uiPriority w:val="99"/>
    <w:qFormat/>
    <w:rPr>
      <w:rFonts w:eastAsiaTheme="minorEastAsia" w:cs="Arial"/>
      <w:sz w:val="20"/>
      <w:szCs w:val="20"/>
      <w:lang w:eastAsia="ar-SA"/>
    </w:rPr>
  </w:style>
  <w:style w:type="character" w:customStyle="1" w:styleId="TekstdymkaZnak">
    <w:name w:val="Tekst dymka Znak"/>
    <w:link w:val="Tekstdymka"/>
    <w:uiPriority w:val="99"/>
    <w:semiHidden/>
    <w:qFormat/>
    <w:rPr>
      <w:rFonts w:ascii="Tahoma" w:eastAsiaTheme="minorEastAsia" w:hAnsi="Tahoma" w:cs="Tahoma"/>
      <w:sz w:val="16"/>
      <w:szCs w:val="16"/>
      <w:lang w:eastAsia="ar-SA"/>
    </w:rPr>
  </w:style>
  <w:style w:type="character" w:customStyle="1" w:styleId="TekstprzypisudolnegoZnak">
    <w:name w:val="Tekst przypisu dolnego Znak"/>
    <w:basedOn w:val="Domylnaczcionkaakapitu"/>
    <w:link w:val="Tekstprzypisudolnego"/>
    <w:uiPriority w:val="99"/>
    <w:semiHidden/>
    <w:qFormat/>
    <w:rPr>
      <w:sz w:val="20"/>
    </w:rPr>
  </w:style>
  <w:style w:type="character" w:styleId="Odwoaniedokomentarza">
    <w:name w:val="annotation reference"/>
    <w:basedOn w:val="Domylnaczcionkaakapitu"/>
    <w:uiPriority w:val="99"/>
    <w:semiHidden/>
    <w:qFormat/>
    <w:rPr>
      <w:sz w:val="16"/>
      <w:szCs w:val="16"/>
    </w:rPr>
  </w:style>
  <w:style w:type="character" w:customStyle="1" w:styleId="TekstkomentarzaZnak">
    <w:name w:val="Tekst komentarza Znak"/>
    <w:basedOn w:val="Domylnaczcionkaakapitu"/>
    <w:link w:val="Tekstkomentarza"/>
    <w:uiPriority w:val="99"/>
    <w:qFormat/>
    <w:rPr>
      <w:sz w:val="20"/>
    </w:rPr>
  </w:style>
  <w:style w:type="character" w:customStyle="1" w:styleId="TematkomentarzaZnak">
    <w:name w:val="Temat komentarza Znak"/>
    <w:basedOn w:val="TekstkomentarzaZnak"/>
    <w:link w:val="Tematkomentarza"/>
    <w:uiPriority w:val="99"/>
    <w:semiHidden/>
    <w:qFormat/>
    <w:rPr>
      <w:b/>
      <w:bCs/>
      <w:sz w:val="20"/>
    </w:rPr>
  </w:style>
  <w:style w:type="character" w:customStyle="1" w:styleId="IGindeksgrny">
    <w:name w:val="_IG_ – indeks górny"/>
    <w:basedOn w:val="Domylnaczcionkaakapitu"/>
    <w:uiPriority w:val="2"/>
    <w:qFormat/>
    <w:rPr>
      <w:b w:val="0"/>
      <w:i w:val="0"/>
      <w:vanish w:val="0"/>
      <w:spacing w:val="0"/>
      <w:vertAlign w:val="superscript"/>
    </w:rPr>
  </w:style>
  <w:style w:type="character" w:customStyle="1" w:styleId="IDindeksdolny">
    <w:name w:val="_ID_ – indeks dolny"/>
    <w:basedOn w:val="Domylnaczcionkaakapitu"/>
    <w:uiPriority w:val="3"/>
    <w:qFormat/>
    <w:rPr>
      <w:b w:val="0"/>
      <w:i w:val="0"/>
      <w:vanish w:val="0"/>
      <w:spacing w:val="0"/>
      <w:vertAlign w:val="subscript"/>
    </w:rPr>
  </w:style>
  <w:style w:type="character" w:customStyle="1" w:styleId="IDPindeksdolnyipogrubienie">
    <w:name w:val="_ID_P_ – indeks dolny i pogrubienie"/>
    <w:basedOn w:val="Domylnaczcionkaakapitu"/>
    <w:uiPriority w:val="3"/>
    <w:qFormat/>
    <w:rPr>
      <w:b/>
      <w:vanish w:val="0"/>
      <w:spacing w:val="0"/>
      <w:vertAlign w:val="subscript"/>
    </w:rPr>
  </w:style>
  <w:style w:type="character" w:customStyle="1" w:styleId="IDKindeksdolnyikursywa">
    <w:name w:val="_ID_K_ – indeks dolny i kursywa"/>
    <w:basedOn w:val="Domylnaczcionkaakapitu"/>
    <w:uiPriority w:val="3"/>
    <w:qFormat/>
    <w:rPr>
      <w:i/>
      <w:vanish w:val="0"/>
      <w:spacing w:val="0"/>
      <w:vertAlign w:val="subscript"/>
    </w:rPr>
  </w:style>
  <w:style w:type="character" w:customStyle="1" w:styleId="IGPindeksgrnyipogrubienie">
    <w:name w:val="_IG_P_ – indeks górny i pogrubienie"/>
    <w:basedOn w:val="Domylnaczcionkaakapitu"/>
    <w:uiPriority w:val="2"/>
    <w:qFormat/>
    <w:rPr>
      <w:b/>
      <w:vanish w:val="0"/>
      <w:spacing w:val="0"/>
      <w:vertAlign w:val="superscript"/>
    </w:rPr>
  </w:style>
  <w:style w:type="character" w:customStyle="1" w:styleId="IGKindeksgrnyikursywa">
    <w:name w:val="_IG_K_ – indeks górny i kursywa"/>
    <w:basedOn w:val="Domylnaczcionkaakapitu"/>
    <w:uiPriority w:val="2"/>
    <w:qFormat/>
    <w:rPr>
      <w:i/>
      <w:vanish w:val="0"/>
      <w:spacing w:val="0"/>
      <w:vertAlign w:val="superscript"/>
    </w:rPr>
  </w:style>
  <w:style w:type="character" w:customStyle="1" w:styleId="IGPKindeksgrnyipogrubieniekursywa">
    <w:name w:val="_IG_P_K_ – indeks górny i pogrubienie kursywa"/>
    <w:basedOn w:val="Domylnaczcionkaakapitu"/>
    <w:uiPriority w:val="2"/>
    <w:qFormat/>
    <w:rPr>
      <w:b/>
      <w:i/>
      <w:vanish w:val="0"/>
      <w:spacing w:val="0"/>
      <w:vertAlign w:val="superscript"/>
    </w:rPr>
  </w:style>
  <w:style w:type="character" w:customStyle="1" w:styleId="IDPKindeksdolnyipogrugieniekursywa">
    <w:name w:val="_ID_P_K_ – indeks dolny i pogrugienie kursywa"/>
    <w:basedOn w:val="Domylnaczcionkaakapitu"/>
    <w:uiPriority w:val="3"/>
    <w:qFormat/>
    <w:rPr>
      <w:b/>
      <w:i/>
      <w:vanish w:val="0"/>
      <w:spacing w:val="0"/>
      <w:vertAlign w:val="subscript"/>
    </w:rPr>
  </w:style>
  <w:style w:type="character" w:customStyle="1" w:styleId="Ppogrubienie">
    <w:name w:val="_P_ – pogrubienie"/>
    <w:basedOn w:val="Domylnaczcionkaakapitu"/>
    <w:qFormat/>
    <w:rPr>
      <w:b/>
    </w:rPr>
  </w:style>
  <w:style w:type="character" w:customStyle="1" w:styleId="Kkursywa">
    <w:name w:val="_K_ – kursywa"/>
    <w:basedOn w:val="Domylnaczcionkaakapitu"/>
    <w:uiPriority w:val="1"/>
    <w:qFormat/>
    <w:rPr>
      <w:i/>
    </w:rPr>
  </w:style>
  <w:style w:type="character" w:customStyle="1" w:styleId="PKpogrubieniekursywa">
    <w:name w:val="_P_K_ – pogrubienie kursywa"/>
    <w:basedOn w:val="Domylnaczcionkaakapitu"/>
    <w:uiPriority w:val="1"/>
    <w:qFormat/>
    <w:rPr>
      <w:b/>
      <w:i/>
    </w:rPr>
  </w:style>
  <w:style w:type="character" w:customStyle="1" w:styleId="TEKSTOZNACZONYWDOKUMENCIERDOWYMJAKOUKRYTY">
    <w:name w:val="_TEKST_OZNACZONY_W_DOKUMENCIE_ŹRÓDŁOWYM_JAKO_UKRYTY_"/>
    <w:basedOn w:val="Domylnaczcionkaakapitu"/>
    <w:uiPriority w:val="4"/>
    <w:unhideWhenUsed/>
    <w:qFormat/>
    <w:rPr>
      <w:vanish w:val="0"/>
      <w:color w:val="FF0000"/>
      <w:u w:val="single"/>
    </w:rPr>
  </w:style>
  <w:style w:type="character" w:customStyle="1" w:styleId="BEZWERSALIKW">
    <w:name w:val="_BEZ_WERSALIKÓW_"/>
    <w:basedOn w:val="Domylnaczcionkaakapitu"/>
    <w:uiPriority w:val="4"/>
    <w:qFormat/>
    <w:rPr>
      <w:caps/>
    </w:rPr>
  </w:style>
  <w:style w:type="character" w:customStyle="1" w:styleId="IIGPindeksgrnyindeksugrnegoipogrubienie">
    <w:name w:val="_IIG_P_ – indeks górny indeksu górnego i pogrubienie"/>
    <w:basedOn w:val="Domylnaczcionkaakapitu"/>
    <w:uiPriority w:val="3"/>
    <w:qFormat/>
    <w:rPr>
      <w:b/>
      <w:vanish w:val="0"/>
      <w:spacing w:val="0"/>
      <w:vertAlign w:val="superscript"/>
    </w:rPr>
  </w:style>
  <w:style w:type="character" w:customStyle="1" w:styleId="IIGindeksgrnyindeksugrnego">
    <w:name w:val="_IIG_ – indeks górny indeksu górnego"/>
    <w:basedOn w:val="IIGPindeksgrnyindeksugrnegoipogrubienie"/>
    <w:uiPriority w:val="3"/>
    <w:qFormat/>
    <w:rPr>
      <w:b w:val="0"/>
      <w:i w:val="0"/>
      <w:vanish w:val="0"/>
      <w:spacing w:val="0"/>
      <w:vertAlign w:val="superscript"/>
    </w:rPr>
  </w:style>
  <w:style w:type="character" w:styleId="Tekstzastpczy">
    <w:name w:val="Placeholder Text"/>
    <w:basedOn w:val="Domylnaczcionkaakapitu"/>
    <w:uiPriority w:val="99"/>
    <w:semiHidden/>
    <w:qFormat/>
    <w:rPr>
      <w:color w:val="808080"/>
    </w:rPr>
  </w:style>
  <w:style w:type="character" w:customStyle="1" w:styleId="Wyrnienie">
    <w:name w:val="Wyróżnienie"/>
    <w:basedOn w:val="Domylnaczcionkaakapitu"/>
    <w:uiPriority w:val="20"/>
    <w:qFormat/>
    <w:rPr>
      <w:i/>
      <w:iCs/>
    </w:rPr>
  </w:style>
  <w:style w:type="character" w:customStyle="1" w:styleId="czeinternetowe">
    <w:name w:val="Łącze internetowe"/>
    <w:basedOn w:val="Domylnaczcionkaakapitu"/>
    <w:uiPriority w:val="99"/>
    <w:semiHidden/>
    <w:unhideWhenUsed/>
    <w:rPr>
      <w:color w:val="0000FF"/>
      <w:u w:val="single"/>
    </w:rPr>
  </w:style>
  <w:style w:type="character" w:customStyle="1" w:styleId="TekstprzypisukocowegoZnak">
    <w:name w:val="Tekst przypisu końcowego Znak"/>
    <w:basedOn w:val="Domylnaczcionkaakapitu"/>
    <w:link w:val="Tekstprzypisukocowego"/>
    <w:uiPriority w:val="99"/>
    <w:semiHidden/>
    <w:qFormat/>
    <w:rPr>
      <w:rFonts w:ascii="Times New Roman" w:eastAsia="MS Mincho" w:hAnsi="Times New Roman" w:cs="Arial"/>
      <w:sz w:val="20"/>
      <w:szCs w:val="20"/>
      <w:lang w:eastAsia="zh-CN"/>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Pr>
      <w:vertAlign w:val="superscript"/>
    </w:rPr>
  </w:style>
  <w:style w:type="character" w:customStyle="1" w:styleId="ListLabel1">
    <w:name w:val="ListLabel 1"/>
    <w:qFormat/>
  </w:style>
  <w:style w:type="character" w:customStyle="1" w:styleId="Znakiprzypiswdolnych">
    <w:name w:val="Znaki przypisów dolnych"/>
    <w:qFormat/>
  </w:style>
  <w:style w:type="paragraph" w:styleId="Nagwek">
    <w:name w:val="header"/>
    <w:basedOn w:val="Normalny"/>
    <w:next w:val="Tekstpodstawowy"/>
    <w:link w:val="NagwekZnak"/>
    <w:uiPriority w:val="99"/>
    <w:semiHidden/>
    <w:pPr>
      <w:widowControl w:val="0"/>
      <w:tabs>
        <w:tab w:val="center" w:pos="4536"/>
        <w:tab w:val="right" w:pos="9072"/>
      </w:tabs>
      <w:spacing w:line="360" w:lineRule="auto"/>
    </w:pPr>
    <w:rPr>
      <w:rFonts w:eastAsiaTheme="minorEastAsia" w:cs="Arial"/>
      <w:sz w:val="20"/>
      <w:szCs w:val="20"/>
      <w:lang w:eastAsia="ar-SA"/>
    </w:rPr>
  </w:style>
  <w:style w:type="character" w:customStyle="1" w:styleId="NagwekZnak1">
    <w:name w:val="Nagłówek Znak1"/>
    <w:basedOn w:val="Domylnaczcionkaakapitu"/>
    <w:uiPriority w:val="99"/>
    <w:semiHidden/>
  </w:style>
  <w:style w:type="paragraph" w:styleId="Tekstpodstawowy">
    <w:name w:val="Body Text"/>
    <w:basedOn w:val="Normalny"/>
    <w:link w:val="TekstpodstawowyZnak"/>
    <w:pPr>
      <w:widowControl w:val="0"/>
      <w:spacing w:after="140" w:line="276" w:lineRule="auto"/>
    </w:pPr>
    <w:rPr>
      <w:rFonts w:ascii="Times New Roman" w:eastAsia="MS Mincho" w:hAnsi="Times New Roman" w:cs="Arial"/>
      <w:szCs w:val="20"/>
      <w:lang w:eastAsia="zh-CN"/>
    </w:rPr>
  </w:style>
  <w:style w:type="character" w:customStyle="1" w:styleId="TekstpodstawowyZnak">
    <w:name w:val="Tekst podstawowy Znak"/>
    <w:basedOn w:val="Domylnaczcionkaakapitu"/>
    <w:link w:val="Tekstpodstawowy"/>
    <w:rPr>
      <w:rFonts w:ascii="Times New Roman" w:eastAsia="MS Mincho" w:hAnsi="Times New Roman" w:cs="Arial"/>
      <w:szCs w:val="20"/>
      <w:lang w:eastAsia="zh-CN"/>
    </w:rPr>
  </w:style>
  <w:style w:type="paragraph" w:styleId="Lista">
    <w:name w:val="List"/>
    <w:basedOn w:val="Tekstpodstawowy"/>
  </w:style>
  <w:style w:type="paragraph" w:styleId="Legenda">
    <w:name w:val="caption"/>
    <w:basedOn w:val="Normalny"/>
    <w:qFormat/>
    <w:pPr>
      <w:widowControl w:val="0"/>
      <w:suppressLineNumbers/>
      <w:spacing w:before="120" w:after="120" w:line="360" w:lineRule="auto"/>
    </w:pPr>
    <w:rPr>
      <w:rFonts w:ascii="Times New Roman" w:eastAsia="MS Mincho" w:hAnsi="Times New Roman" w:cs="Arial"/>
      <w:i/>
      <w:iCs/>
      <w:lang w:eastAsia="zh-CN"/>
    </w:rPr>
  </w:style>
  <w:style w:type="paragraph" w:customStyle="1" w:styleId="Indeks">
    <w:name w:val="Indeks"/>
    <w:basedOn w:val="Normalny"/>
    <w:qFormat/>
    <w:pPr>
      <w:widowControl w:val="0"/>
      <w:suppressLineNumbers/>
      <w:spacing w:line="360" w:lineRule="auto"/>
    </w:pPr>
    <w:rPr>
      <w:rFonts w:ascii="Times New Roman" w:eastAsia="MS Mincho" w:hAnsi="Times New Roman" w:cs="Arial"/>
      <w:szCs w:val="20"/>
      <w:lang w:eastAsia="zh-CN"/>
    </w:rPr>
  </w:style>
  <w:style w:type="paragraph" w:customStyle="1" w:styleId="ZLITwPKTzmlitwpktartykuempunktem">
    <w:name w:val="Z/LIT_w_PKT – zm. lit. w pkt artykułem (punktem)"/>
    <w:basedOn w:val="LITlitera"/>
    <w:uiPriority w:val="32"/>
    <w:qFormat/>
    <w:pPr>
      <w:ind w:left="1497" w:firstLine="0"/>
    </w:pPr>
  </w:style>
  <w:style w:type="paragraph" w:customStyle="1" w:styleId="ZTIRwPKTzmtirwpktartykuempunktem">
    <w:name w:val="Z/TIR_w_PKT – zm. tir. w pkt artykułem (punktem)"/>
    <w:basedOn w:val="TIRtiret"/>
    <w:uiPriority w:val="33"/>
    <w:qFormat/>
    <w:pPr>
      <w:ind w:left="1894" w:firstLine="0"/>
    </w:pPr>
  </w:style>
  <w:style w:type="paragraph" w:customStyle="1" w:styleId="ZCZWSPLITwPKTzmczciwsplitwpktartykuempunktem">
    <w:name w:val="Z/CZ_WSP_LIT_w_PKT – zm. części wsp. lit. w pkt artykułem (punktem)"/>
    <w:basedOn w:val="CZWSPLITczwsplnaliter"/>
    <w:uiPriority w:val="35"/>
    <w:qFormat/>
    <w:pPr>
      <w:ind w:left="1021"/>
    </w:pPr>
  </w:style>
  <w:style w:type="paragraph" w:customStyle="1" w:styleId="2TIRpodwjnytiret">
    <w:name w:val="2TIR – podwójny tiret"/>
    <w:basedOn w:val="TIRtiret"/>
    <w:uiPriority w:val="73"/>
    <w:qFormat/>
    <w:pPr>
      <w:ind w:left="1780" w:firstLine="0"/>
    </w:pPr>
  </w:style>
  <w:style w:type="paragraph" w:styleId="Stopka">
    <w:name w:val="footer"/>
    <w:basedOn w:val="Normalny"/>
    <w:link w:val="StopkaZnak"/>
    <w:uiPriority w:val="99"/>
    <w:pPr>
      <w:widowControl w:val="0"/>
      <w:tabs>
        <w:tab w:val="center" w:pos="4536"/>
        <w:tab w:val="right" w:pos="9072"/>
      </w:tabs>
      <w:spacing w:line="360" w:lineRule="auto"/>
    </w:pPr>
    <w:rPr>
      <w:rFonts w:eastAsiaTheme="minorEastAsia" w:cs="Arial"/>
      <w:sz w:val="20"/>
      <w:szCs w:val="20"/>
      <w:lang w:eastAsia="ar-SA"/>
    </w:rPr>
  </w:style>
  <w:style w:type="character" w:customStyle="1" w:styleId="StopkaZnak1">
    <w:name w:val="Stopka Znak1"/>
    <w:basedOn w:val="Domylnaczcionkaakapitu"/>
    <w:uiPriority w:val="99"/>
    <w:semiHidden/>
  </w:style>
  <w:style w:type="paragraph" w:styleId="Tekstdymka">
    <w:name w:val="Balloon Text"/>
    <w:basedOn w:val="Normalny"/>
    <w:link w:val="TekstdymkaZnak"/>
    <w:uiPriority w:val="99"/>
    <w:semiHidden/>
    <w:qFormat/>
    <w:pPr>
      <w:widowControl w:val="0"/>
      <w:spacing w:line="360" w:lineRule="auto"/>
    </w:pPr>
    <w:rPr>
      <w:rFonts w:ascii="Tahoma" w:eastAsiaTheme="minorEastAsia" w:hAnsi="Tahoma" w:cs="Tahoma"/>
      <w:sz w:val="16"/>
      <w:szCs w:val="16"/>
      <w:lang w:eastAsia="ar-SA"/>
    </w:rPr>
  </w:style>
  <w:style w:type="character" w:customStyle="1" w:styleId="TekstdymkaZnak1">
    <w:name w:val="Tekst dymka Znak1"/>
    <w:basedOn w:val="Domylnaczcionkaakapitu"/>
    <w:uiPriority w:val="99"/>
    <w:semiHidden/>
    <w:rPr>
      <w:rFonts w:ascii="Times New Roman" w:hAnsi="Times New Roman" w:cs="Times New Roman"/>
      <w:sz w:val="18"/>
      <w:szCs w:val="18"/>
    </w:rPr>
  </w:style>
  <w:style w:type="paragraph" w:customStyle="1" w:styleId="ARTartustawynprozporzdzenia">
    <w:name w:val="ART(§) – art. ustawy (§ np. rozporządzenia)"/>
    <w:qFormat/>
    <w:pPr>
      <w:spacing w:before="120"/>
      <w:ind w:firstLine="510"/>
      <w:jc w:val="both"/>
    </w:pPr>
    <w:rPr>
      <w:rFonts w:ascii="Times" w:eastAsiaTheme="minorEastAsia" w:hAnsi="Times" w:cs="Arial"/>
      <w:szCs w:val="20"/>
      <w:lang w:eastAsia="pl-PL"/>
    </w:rPr>
  </w:style>
  <w:style w:type="paragraph" w:customStyle="1" w:styleId="ZCZWSPTIRwPKTzmczciwsptirwpktartykuempunktem">
    <w:name w:val="Z/CZ_WSP_TIR_w_PKT – zm. części wsp. tir. w pkt artykułem (punktem)"/>
    <w:basedOn w:val="CZWSPTIRczwsplnatiret"/>
    <w:uiPriority w:val="36"/>
    <w:qFormat/>
    <w:pPr>
      <w:ind w:left="1497"/>
    </w:pPr>
  </w:style>
  <w:style w:type="paragraph" w:customStyle="1" w:styleId="ZTIRwLITzmtirwlitartykuempunktem">
    <w:name w:val="Z/TIR_w_LIT – zm. tir. w lit. artykułem (punktem)"/>
    <w:basedOn w:val="TIRtiret"/>
    <w:uiPriority w:val="33"/>
    <w:qFormat/>
  </w:style>
  <w:style w:type="paragraph" w:customStyle="1" w:styleId="ZCZWSPTIRwLITzmczciwsptirwlitartykuempunktem">
    <w:name w:val="Z/CZ_WSP_TIR_w_LIT – zm. części wsp. tir. w lit. artykułem (punktem)"/>
    <w:basedOn w:val="CZWSPTIRczwsplnatiret"/>
    <w:uiPriority w:val="36"/>
    <w:qFormat/>
  </w:style>
  <w:style w:type="paragraph" w:styleId="Bezodstpw">
    <w:name w:val="No Spacing"/>
    <w:uiPriority w:val="99"/>
    <w:qFormat/>
    <w:pPr>
      <w:widowControl w:val="0"/>
    </w:pPr>
    <w:rPr>
      <w:rFonts w:ascii="Times" w:eastAsia="Times New Roman" w:hAnsi="Times" w:cs="Times New Roman"/>
      <w:lang w:eastAsia="ar-SA"/>
    </w:rPr>
  </w:style>
  <w:style w:type="paragraph" w:customStyle="1" w:styleId="ZPKTzmpktartykuempunktem">
    <w:name w:val="Z/PKT – zm. pkt artykułem (punktem)"/>
    <w:basedOn w:val="PKTpunkt"/>
    <w:uiPriority w:val="31"/>
    <w:qFormat/>
    <w:pPr>
      <w:ind w:left="1020" w:firstLine="0"/>
    </w:pPr>
  </w:style>
  <w:style w:type="paragraph" w:customStyle="1" w:styleId="ZARTzmartartykuempunktem">
    <w:name w:val="Z/ART(§) – zm. art. (§) artykułem (punktem)"/>
    <w:basedOn w:val="ARTartustawynprozporzdzenia"/>
    <w:qFormat/>
    <w:pPr>
      <w:spacing w:before="0"/>
      <w:ind w:left="510"/>
    </w:pPr>
  </w:style>
  <w:style w:type="paragraph" w:customStyle="1" w:styleId="DATAAKTUdatauchwalenialubwydaniaaktu">
    <w:name w:val="DATA_AKTU – data uchwalenia lub wydania aktu"/>
    <w:qFormat/>
    <w:pPr>
      <w:keepNext/>
      <w:spacing w:before="120" w:after="120"/>
      <w:jc w:val="center"/>
    </w:pPr>
    <w:rPr>
      <w:rFonts w:ascii="Times" w:eastAsiaTheme="minorEastAsia" w:hAnsi="Times" w:cs="Arial"/>
      <w:bCs/>
      <w:lang w:eastAsia="pl-PL"/>
    </w:rPr>
  </w:style>
  <w:style w:type="paragraph" w:customStyle="1" w:styleId="TYTUAKTUprzedmiotregulacjiustawylubrozporzdzenia">
    <w:name w:val="TYTUŁ_AKTU – przedmiot regulacji ustawy lub rozporządzenia"/>
    <w:qFormat/>
    <w:pPr>
      <w:keepNext/>
      <w:spacing w:before="120" w:after="360"/>
      <w:jc w:val="center"/>
    </w:pPr>
    <w:rPr>
      <w:rFonts w:ascii="Times" w:eastAsiaTheme="minorEastAsia" w:hAnsi="Times" w:cs="Arial"/>
      <w:b/>
      <w:bCs/>
      <w:lang w:eastAsia="pl-PL"/>
    </w:rPr>
  </w:style>
  <w:style w:type="paragraph" w:customStyle="1" w:styleId="OZNRODZAKTUtznustawalubrozporzdzenieiorganwydajcy">
    <w:name w:val="OZN_RODZ_AKTU – tzn. ustawa lub rozporządzenie i organ wydający"/>
    <w:qFormat/>
    <w:pPr>
      <w:keepNext/>
      <w:spacing w:after="120"/>
      <w:jc w:val="center"/>
    </w:pPr>
    <w:rPr>
      <w:rFonts w:ascii="Times" w:eastAsia="Times New Roman" w:hAnsi="Times" w:cs="Times New Roman"/>
      <w:b/>
      <w:bCs/>
      <w:caps/>
      <w:spacing w:val="54"/>
      <w:lang w:eastAsia="pl-PL"/>
    </w:rPr>
  </w:style>
  <w:style w:type="paragraph" w:customStyle="1" w:styleId="USTustnpkodeksu">
    <w:name w:val="UST(§) – ust. (§ np. kodeksu)"/>
    <w:basedOn w:val="ARTartustawynprozporzdzenia"/>
    <w:uiPriority w:val="12"/>
    <w:qFormat/>
    <w:pPr>
      <w:spacing w:before="0"/>
    </w:pPr>
    <w:rPr>
      <w:bCs/>
    </w:rPr>
  </w:style>
  <w:style w:type="paragraph" w:customStyle="1" w:styleId="PKTpunkt">
    <w:name w:val="PKT – punkt"/>
    <w:qFormat/>
    <w:pPr>
      <w:ind w:left="510" w:hanging="510"/>
      <w:jc w:val="both"/>
    </w:pPr>
    <w:rPr>
      <w:rFonts w:ascii="Times" w:eastAsiaTheme="minorEastAsia" w:hAnsi="Times" w:cs="Arial"/>
      <w:bCs/>
      <w:szCs w:val="20"/>
      <w:lang w:eastAsia="pl-PL"/>
    </w:rPr>
  </w:style>
  <w:style w:type="paragraph" w:customStyle="1" w:styleId="CZWSPPKTczwsplnapunktw">
    <w:name w:val="CZ_WSP_PKT – część wspólna punktów"/>
    <w:basedOn w:val="PKTpunkt"/>
    <w:uiPriority w:val="16"/>
    <w:qFormat/>
    <w:pPr>
      <w:ind w:left="0" w:firstLine="0"/>
    </w:pPr>
  </w:style>
  <w:style w:type="paragraph" w:customStyle="1" w:styleId="LITlitera">
    <w:name w:val="LIT – litera"/>
    <w:basedOn w:val="PKTpunkt"/>
    <w:uiPriority w:val="14"/>
    <w:qFormat/>
    <w:pPr>
      <w:ind w:left="986" w:hanging="476"/>
    </w:pPr>
  </w:style>
  <w:style w:type="paragraph" w:customStyle="1" w:styleId="CZWSPLITczwsplnaliter">
    <w:name w:val="CZ_WSP_LIT – część wspólna liter"/>
    <w:basedOn w:val="LITlitera"/>
    <w:uiPriority w:val="17"/>
    <w:qFormat/>
    <w:pPr>
      <w:ind w:left="510" w:firstLine="0"/>
    </w:pPr>
    <w:rPr>
      <w:szCs w:val="24"/>
    </w:rPr>
  </w:style>
  <w:style w:type="paragraph" w:customStyle="1" w:styleId="TIRtiret">
    <w:name w:val="TIR – tiret"/>
    <w:basedOn w:val="LITlitera"/>
    <w:uiPriority w:val="15"/>
    <w:qFormat/>
    <w:pPr>
      <w:ind w:left="1384" w:hanging="397"/>
    </w:pPr>
  </w:style>
  <w:style w:type="paragraph" w:customStyle="1" w:styleId="CZWSPTIRczwsplnatiret">
    <w:name w:val="CZ_WSP_TIR – część wspólna tiret"/>
    <w:basedOn w:val="TIRtiret"/>
    <w:uiPriority w:val="17"/>
    <w:qFormat/>
    <w:pPr>
      <w:ind w:left="987" w:firstLine="0"/>
    </w:pPr>
  </w:style>
  <w:style w:type="paragraph" w:customStyle="1" w:styleId="CYTcytatnpprzysigi">
    <w:name w:val="CYT – cytat np. przysięgi"/>
    <w:basedOn w:val="USTustnpkodeksu"/>
    <w:uiPriority w:val="18"/>
    <w:qFormat/>
    <w:pPr>
      <w:ind w:left="510" w:right="510" w:firstLine="0"/>
    </w:pPr>
  </w:style>
  <w:style w:type="paragraph" w:customStyle="1" w:styleId="ROZDZODDZPRZEDMprzedmiotregulacjirozdziauluboddziau">
    <w:name w:val="ROZDZ(ODDZ)_PRZEDM – przedmiot regulacji rozdziału lub oddziału"/>
    <w:uiPriority w:val="10"/>
    <w:qFormat/>
    <w:pPr>
      <w:keepNext/>
      <w:spacing w:before="120"/>
      <w:jc w:val="center"/>
    </w:pPr>
    <w:rPr>
      <w:rFonts w:ascii="Times" w:eastAsiaTheme="minorEastAsia" w:hAnsi="Times" w:cs="Times New Roman"/>
      <w:b/>
      <w:bCs/>
      <w:lang w:eastAsia="pl-PL"/>
    </w:rPr>
  </w:style>
  <w:style w:type="paragraph" w:customStyle="1" w:styleId="ZLITzmlitartykuempunktem">
    <w:name w:val="Z/LIT – zm. lit. artykułem (punktem)"/>
    <w:basedOn w:val="LITlitera"/>
    <w:uiPriority w:val="32"/>
    <w:qFormat/>
  </w:style>
  <w:style w:type="paragraph" w:customStyle="1" w:styleId="ZLITCZWSPTIRwLITzmczciwsptirwlitliter">
    <w:name w:val="Z_LIT/CZ_WSP_TIR_w_LIT – zm. części wsp. tir. w lit. literą"/>
    <w:basedOn w:val="CZWSPTIRczwsplnatiret"/>
    <w:uiPriority w:val="51"/>
    <w:qFormat/>
    <w:pPr>
      <w:ind w:left="1463"/>
    </w:pPr>
  </w:style>
  <w:style w:type="paragraph" w:customStyle="1" w:styleId="ZLITTIRwLITzmtirwlitliter">
    <w:name w:val="Z_LIT/TIR_w_LIT – zm. tir. w lit. literą"/>
    <w:basedOn w:val="TIRtiret"/>
    <w:uiPriority w:val="49"/>
    <w:qFormat/>
    <w:pPr>
      <w:ind w:left="1860"/>
    </w:pPr>
  </w:style>
  <w:style w:type="paragraph" w:customStyle="1" w:styleId="TYTDZOZNoznaczenietytuulubdziau">
    <w:name w:val="TYT(DZ)_OZN – oznaczenie tytułu lub działu"/>
    <w:uiPriority w:val="9"/>
    <w:qFormat/>
    <w:pPr>
      <w:keepNext/>
      <w:spacing w:before="120"/>
      <w:jc w:val="center"/>
    </w:pPr>
    <w:rPr>
      <w:rFonts w:ascii="Times" w:eastAsiaTheme="minorEastAsia" w:hAnsi="Times" w:cs="Arial"/>
      <w:bCs/>
      <w:caps/>
      <w:lang w:eastAsia="pl-PL"/>
    </w:rPr>
  </w:style>
  <w:style w:type="paragraph" w:customStyle="1" w:styleId="ZWMATFIZCHEMzmwzorumatfizlubchemartykuempunktem">
    <w:name w:val="Z/W_MAT(FIZ|CHEM) – zm. wzoru mat. (fiz. lub chem.) artykułem (punktem)"/>
    <w:basedOn w:val="WMATFIZCHEMwzrmatfizlubchem"/>
    <w:uiPriority w:val="38"/>
    <w:qFormat/>
    <w:pPr>
      <w:ind w:left="510"/>
    </w:pPr>
  </w:style>
  <w:style w:type="paragraph" w:customStyle="1" w:styleId="ZTYTDZOZNzmozntytuudziauartykuempunktem">
    <w:name w:val="Z/TYT(DZ)_OZN – zm. ozn. tytułu (działu) artykułem (punktem)"/>
    <w:basedOn w:val="TYTDZOZNoznaczenietytuulubdziau"/>
    <w:uiPriority w:val="28"/>
    <w:qFormat/>
    <w:pPr>
      <w:spacing w:before="0"/>
      <w:ind w:left="510"/>
    </w:pPr>
  </w:style>
  <w:style w:type="paragraph" w:customStyle="1" w:styleId="ZTYTDZPRZEDMzmprzedmtytuulubdziauartykuempunktem">
    <w:name w:val="Z/TYT(DZ)_PRZEDM – zm. przedm. tytułu lub działu artykułem (punktem)"/>
    <w:uiPriority w:val="28"/>
    <w:qFormat/>
    <w:pPr>
      <w:keepNext/>
      <w:ind w:left="510"/>
      <w:jc w:val="center"/>
    </w:pPr>
    <w:rPr>
      <w:rFonts w:ascii="Times" w:eastAsia="Times New Roman" w:hAnsi="Times" w:cs="Times New Roman"/>
      <w:szCs w:val="26"/>
      <w:lang w:eastAsia="pl-PL"/>
    </w:rPr>
  </w:style>
  <w:style w:type="paragraph" w:customStyle="1" w:styleId="ZTIRzmtirartykuempunktem">
    <w:name w:val="Z/TIR – zm. tir. artykułem (punktem)"/>
    <w:basedOn w:val="TIRtiret"/>
    <w:uiPriority w:val="33"/>
    <w:qFormat/>
    <w:pPr>
      <w:ind w:left="907"/>
    </w:pPr>
  </w:style>
  <w:style w:type="paragraph" w:customStyle="1" w:styleId="ZCZWSPPKTzmczciwsppktartykuempunktem">
    <w:name w:val="Z/CZ_WSP_PKT – zm. części wsp. pkt artykułem (punktem)"/>
    <w:basedOn w:val="CZWSPPKTczwsplnapunktw"/>
    <w:uiPriority w:val="34"/>
    <w:qFormat/>
    <w:pPr>
      <w:ind w:left="510"/>
    </w:pPr>
  </w:style>
  <w:style w:type="paragraph" w:customStyle="1" w:styleId="ZZLITzmianazmlit">
    <w:name w:val="ZZ/LIT – zmiana zm. lit."/>
    <w:basedOn w:val="ZZPKTzmianazmpkt"/>
    <w:uiPriority w:val="67"/>
    <w:qFormat/>
    <w:pPr>
      <w:ind w:left="2370" w:hanging="476"/>
    </w:pPr>
  </w:style>
  <w:style w:type="paragraph" w:customStyle="1" w:styleId="ZZTIRzmianazmtir">
    <w:name w:val="ZZ/TIR – zmiana zm. tir."/>
    <w:basedOn w:val="ZZLITzmianazmlit"/>
    <w:uiPriority w:val="67"/>
    <w:qFormat/>
    <w:pPr>
      <w:ind w:left="2291" w:hanging="397"/>
    </w:pPr>
  </w:style>
  <w:style w:type="paragraph" w:customStyle="1" w:styleId="ZROZDZODDZOZNzmoznrozdzoddzartykuempunktem">
    <w:name w:val="Z/ROZDZ(ODDZ)_OZN – zm. ozn. rozdz. (oddz.) artykułem (punktem)"/>
    <w:uiPriority w:val="29"/>
    <w:qFormat/>
    <w:pPr>
      <w:keepNext/>
      <w:ind w:left="510"/>
      <w:jc w:val="center"/>
    </w:pPr>
    <w:rPr>
      <w:rFonts w:ascii="Times" w:eastAsiaTheme="minorEastAsia" w:hAnsi="Times" w:cs="Arial"/>
      <w:bCs/>
      <w:lang w:eastAsia="pl-PL"/>
    </w:rPr>
  </w:style>
  <w:style w:type="paragraph" w:customStyle="1" w:styleId="ZLITUSTzmustliter">
    <w:name w:val="Z_LIT/UST(§) – zm. ust. (§) literą"/>
    <w:basedOn w:val="USTustnpkodeksu"/>
    <w:uiPriority w:val="46"/>
    <w:qFormat/>
    <w:pPr>
      <w:ind w:left="987"/>
    </w:pPr>
  </w:style>
  <w:style w:type="paragraph" w:customStyle="1" w:styleId="ZLITPKTzmpktliter">
    <w:name w:val="Z_LIT/PKT – zm. pkt literą"/>
    <w:basedOn w:val="PKTpunkt"/>
    <w:uiPriority w:val="47"/>
    <w:qFormat/>
    <w:pPr>
      <w:ind w:left="1497"/>
    </w:pPr>
  </w:style>
  <w:style w:type="paragraph" w:customStyle="1" w:styleId="ZZCZWSPPKTzmianazmczciwsppkt">
    <w:name w:val="ZZ/CZ_WSP_PKT – zmiana. zm. części wsp. pkt"/>
    <w:basedOn w:val="ZZARTzmianazmart"/>
    <w:uiPriority w:val="68"/>
    <w:qFormat/>
    <w:pPr>
      <w:ind w:firstLine="0"/>
    </w:pPr>
  </w:style>
  <w:style w:type="paragraph" w:customStyle="1" w:styleId="ZLITLITzmlitliter">
    <w:name w:val="Z_LIT/LIT – zm. lit. literą"/>
    <w:basedOn w:val="LITlitera"/>
    <w:uiPriority w:val="48"/>
    <w:qFormat/>
    <w:pPr>
      <w:ind w:left="1463"/>
    </w:pPr>
  </w:style>
  <w:style w:type="paragraph" w:customStyle="1" w:styleId="ZLITCZWSPPKTzmczciwsppktliter">
    <w:name w:val="Z_LIT/CZ_WSP_PKT – zm. części wsp. pkt literą"/>
    <w:basedOn w:val="CZWSPLITczwsplnaliter"/>
    <w:uiPriority w:val="50"/>
    <w:qFormat/>
    <w:pPr>
      <w:ind w:left="987"/>
    </w:pPr>
  </w:style>
  <w:style w:type="paragraph" w:customStyle="1" w:styleId="ZLITTIRzmtirliter">
    <w:name w:val="Z_LIT/TIR – zm. tir. literą"/>
    <w:basedOn w:val="TIRtiret"/>
    <w:uiPriority w:val="49"/>
    <w:qFormat/>
  </w:style>
  <w:style w:type="paragraph" w:customStyle="1" w:styleId="ZZCZWSPLITwPKTzmianazmczciwsplitwpkt">
    <w:name w:val="ZZ/CZ_WSP_LIT_w_PKT – zmiana zm. części wsp. lit. w pkt"/>
    <w:basedOn w:val="ZZLITwPKTzmianazmlitwpkt"/>
    <w:uiPriority w:val="69"/>
    <w:qFormat/>
    <w:pPr>
      <w:ind w:left="2404"/>
    </w:pPr>
  </w:style>
  <w:style w:type="paragraph" w:customStyle="1" w:styleId="ZLITLITwPKTzmlitwpktliter">
    <w:name w:val="Z_LIT/LIT_w_PKT – zm. lit. w pkt literą"/>
    <w:basedOn w:val="LITlitera"/>
    <w:uiPriority w:val="48"/>
    <w:qFormat/>
    <w:pPr>
      <w:ind w:left="1973"/>
    </w:pPr>
  </w:style>
  <w:style w:type="paragraph" w:customStyle="1" w:styleId="ZLITCZWSPLITwPKTzmczciwsplitwpktliter">
    <w:name w:val="Z_LIT/CZ_WSP_LIT_w_PKT – zm. części wsp. lit. w pkt literą"/>
    <w:basedOn w:val="CZWSPLITczwsplnaliter"/>
    <w:uiPriority w:val="51"/>
    <w:qFormat/>
    <w:pPr>
      <w:ind w:left="1497"/>
    </w:pPr>
  </w:style>
  <w:style w:type="paragraph" w:customStyle="1" w:styleId="ZLITTIRwPKTzmtirwpktliter">
    <w:name w:val="Z_LIT/TIR_w_PKT – zm. tir. w pkt literą"/>
    <w:basedOn w:val="TIRtiret"/>
    <w:uiPriority w:val="49"/>
    <w:qFormat/>
    <w:pPr>
      <w:ind w:left="2370"/>
    </w:pPr>
  </w:style>
  <w:style w:type="paragraph" w:customStyle="1" w:styleId="ZLITCZWSPTIRwPKTzmczciwsptirwpktliter">
    <w:name w:val="Z_LIT/CZ_WSP_TIR_w_PKT – zm. części wsp. tir. w pkt literą"/>
    <w:basedOn w:val="CZWSPTIRczwsplnatiret"/>
    <w:uiPriority w:val="51"/>
    <w:qFormat/>
    <w:pPr>
      <w:ind w:left="1973"/>
    </w:pPr>
  </w:style>
  <w:style w:type="paragraph" w:styleId="Tekstprzypisudolnego">
    <w:name w:val="footnote text"/>
    <w:basedOn w:val="Normalny"/>
    <w:link w:val="TekstprzypisudolnegoZnak"/>
    <w:uiPriority w:val="99"/>
    <w:semiHidden/>
    <w:qFormat/>
    <w:pPr>
      <w:widowControl w:val="0"/>
      <w:spacing w:line="360" w:lineRule="auto"/>
    </w:pPr>
    <w:rPr>
      <w:sz w:val="20"/>
    </w:rPr>
  </w:style>
  <w:style w:type="character" w:customStyle="1" w:styleId="TekstprzypisudolnegoZnak1">
    <w:name w:val="Tekst przypisu dolnego Znak1"/>
    <w:basedOn w:val="Domylnaczcionkaakapitu"/>
    <w:uiPriority w:val="99"/>
    <w:semiHidden/>
    <w:rPr>
      <w:sz w:val="20"/>
      <w:szCs w:val="20"/>
    </w:rPr>
  </w:style>
  <w:style w:type="paragraph" w:customStyle="1" w:styleId="ZTIRLITzmlittiret">
    <w:name w:val="Z_TIR/LIT – zm. lit. tiret"/>
    <w:basedOn w:val="LITlitera"/>
    <w:uiPriority w:val="57"/>
    <w:qFormat/>
    <w:pPr>
      <w:ind w:left="1859"/>
    </w:pPr>
  </w:style>
  <w:style w:type="paragraph" w:customStyle="1" w:styleId="ZTIRCZWSPPKTzmczciwsppkttiret">
    <w:name w:val="Z_TIR/CZ_WSP_PKT – zm. części wsp. pkt tiret"/>
    <w:basedOn w:val="CZWSPLITczwsplnaliter"/>
    <w:uiPriority w:val="58"/>
    <w:qFormat/>
    <w:pPr>
      <w:ind w:left="1383"/>
    </w:pPr>
  </w:style>
  <w:style w:type="paragraph" w:customStyle="1" w:styleId="ZTIRTIRzmtirtiret">
    <w:name w:val="Z_TIR/TIR – zm. tir. tiret"/>
    <w:basedOn w:val="TIRtiret"/>
    <w:uiPriority w:val="57"/>
    <w:qFormat/>
    <w:pPr>
      <w:ind w:left="1780"/>
    </w:pPr>
  </w:style>
  <w:style w:type="paragraph" w:customStyle="1" w:styleId="ZZCZWSPTIRwPKTzmianazmczciwsptirwpkt">
    <w:name w:val="ZZ/CZ_WSP_TIR_w_PKT – zmiana zm. części wsp. tir. w pkt"/>
    <w:basedOn w:val="ZZTIRwPKTzmianazmtirwpkt"/>
    <w:uiPriority w:val="70"/>
    <w:qFormat/>
    <w:pPr>
      <w:ind w:left="2880"/>
    </w:pPr>
  </w:style>
  <w:style w:type="paragraph" w:customStyle="1" w:styleId="ZZTIRwLITzmianazmtirwlit">
    <w:name w:val="ZZ/TIR_w_LIT – zmiana zm. tir. w lit."/>
    <w:basedOn w:val="ZZTIRzmianazmtir"/>
    <w:uiPriority w:val="67"/>
    <w:qFormat/>
    <w:pPr>
      <w:ind w:left="2767"/>
    </w:pPr>
  </w:style>
  <w:style w:type="paragraph" w:customStyle="1" w:styleId="ZTIRTIRwLITzmtirwlittiret">
    <w:name w:val="Z_TIR/TIR_w_LIT – zm. tir. w lit. tiret"/>
    <w:basedOn w:val="TIRtiret"/>
    <w:uiPriority w:val="57"/>
    <w:qFormat/>
    <w:pPr>
      <w:ind w:left="2257"/>
    </w:pPr>
  </w:style>
  <w:style w:type="paragraph" w:customStyle="1" w:styleId="ZTIRCZWSPTIRwLITzmczciwsptirwlittiret">
    <w:name w:val="Z_TIR/CZ_WSP_TIR_w_LIT – zm. części wsp. tir. w lit. tiret"/>
    <w:basedOn w:val="CZWSPTIRczwsplnatiret"/>
    <w:uiPriority w:val="60"/>
    <w:qFormat/>
    <w:pPr>
      <w:ind w:left="1860"/>
    </w:pPr>
  </w:style>
  <w:style w:type="paragraph" w:customStyle="1" w:styleId="CZWSP2TIRczwsplnapodwjnychtiret">
    <w:name w:val="CZ_WSP_2TIR – część wspólna podwójnych tiret"/>
    <w:basedOn w:val="CZWSPTIRczwsplnatiret"/>
    <w:uiPriority w:val="73"/>
    <w:qFormat/>
    <w:pPr>
      <w:ind w:left="1780"/>
    </w:pPr>
  </w:style>
  <w:style w:type="paragraph" w:customStyle="1" w:styleId="Z2TIRzmpodwtirartykuempunktem">
    <w:name w:val="Z/2TIR – zm. podw. tir. artykułem (punktem)"/>
    <w:basedOn w:val="TIRtiret"/>
    <w:uiPriority w:val="73"/>
    <w:qFormat/>
    <w:pPr>
      <w:ind w:left="907"/>
    </w:pPr>
  </w:style>
  <w:style w:type="paragraph" w:customStyle="1" w:styleId="ZZCZWSPTIRwLITzmianazmczciwsptirwlit">
    <w:name w:val="ZZ/CZ_WSP_TIR_w_LIT – zmiana zm. części wsp. tir. w lit."/>
    <w:basedOn w:val="ZZTIRwLITzmianazmtirwlit"/>
    <w:uiPriority w:val="70"/>
    <w:qFormat/>
    <w:pPr>
      <w:ind w:left="2370" w:firstLine="0"/>
    </w:pPr>
  </w:style>
  <w:style w:type="paragraph" w:customStyle="1" w:styleId="ZLIT2TIRzmpodwtirliter">
    <w:name w:val="Z_LIT/2TIR – zm. podw. tir. literą"/>
    <w:basedOn w:val="TIRtiret"/>
    <w:uiPriority w:val="75"/>
    <w:qFormat/>
  </w:style>
  <w:style w:type="paragraph" w:customStyle="1" w:styleId="ZTIR2TIRzmpodwtirtiret">
    <w:name w:val="Z_TIR/2TIR – zm. podw. tir. tiret"/>
    <w:basedOn w:val="TIRtiret"/>
    <w:uiPriority w:val="78"/>
    <w:qFormat/>
    <w:pPr>
      <w:ind w:left="1780"/>
    </w:pPr>
  </w:style>
  <w:style w:type="paragraph" w:customStyle="1" w:styleId="Z2TIRCZWSPLITzmczciwsplitpodwjnymtiret">
    <w:name w:val="Z_2TIR/CZ_WSP_LIT – zm. części wsp. lit. podwójnym tiret"/>
    <w:basedOn w:val="CZWSPTIRczwsplnatiret"/>
    <w:uiPriority w:val="87"/>
    <w:qFormat/>
    <w:pPr>
      <w:ind w:left="1780"/>
    </w:pPr>
  </w:style>
  <w:style w:type="paragraph" w:customStyle="1" w:styleId="Z2TIRwPKTzmpodwtirwpktartykuempunktem">
    <w:name w:val="Z/2TIR_w_PKT – zm. podw. tir. w pkt artykułem (punktem)"/>
    <w:basedOn w:val="TIRtiret"/>
    <w:uiPriority w:val="74"/>
    <w:qFormat/>
    <w:pPr>
      <w:ind w:left="2291"/>
    </w:pPr>
  </w:style>
  <w:style w:type="paragraph" w:customStyle="1" w:styleId="ZTIRPKTzmpkttiret">
    <w:name w:val="Z_TIR/PKT – zm. pkt tiret"/>
    <w:basedOn w:val="PKTpunkt"/>
    <w:uiPriority w:val="56"/>
    <w:qFormat/>
    <w:pPr>
      <w:ind w:left="1893"/>
    </w:pPr>
  </w:style>
  <w:style w:type="paragraph" w:customStyle="1" w:styleId="ZTIRLITwPKTzmlitwpkttiret">
    <w:name w:val="Z_TIR/LIT_w_PKT – zm. lit. w pkt tiret"/>
    <w:basedOn w:val="LITlitera"/>
    <w:uiPriority w:val="57"/>
    <w:qFormat/>
    <w:pPr>
      <w:ind w:left="2336"/>
    </w:pPr>
  </w:style>
  <w:style w:type="paragraph" w:customStyle="1" w:styleId="ZTIRCZWSPLITwPKTzmczciwsplitwpkttiret">
    <w:name w:val="Z_TIR/CZ_WSP_LIT_w_PKT – zm. części wsp. lit. w pkt tiret"/>
    <w:basedOn w:val="CZWSPLITczwsplnaliter"/>
    <w:uiPriority w:val="59"/>
    <w:qFormat/>
    <w:pPr>
      <w:ind w:left="1860"/>
    </w:pPr>
  </w:style>
  <w:style w:type="paragraph" w:customStyle="1" w:styleId="ZTIR2TIRwLITzmpodwtirwlittiret">
    <w:name w:val="Z_TIR/2TIR_w_LIT – zm. podw. tir. w lit. tiret"/>
    <w:basedOn w:val="TIRtiret"/>
    <w:uiPriority w:val="79"/>
    <w:qFormat/>
    <w:pPr>
      <w:ind w:left="2654"/>
    </w:pPr>
  </w:style>
  <w:style w:type="paragraph" w:customStyle="1" w:styleId="ZTIRCZWSP2TIRwLITzmczciwsppodwtirwlittiret">
    <w:name w:val="Z_TIR/CZ_WSP_2TIR_w_LIT – zm. części wsp. podw. tir. w lit. tiret"/>
    <w:basedOn w:val="CZWSPTIRczwsplnatiret"/>
    <w:uiPriority w:val="80"/>
    <w:qFormat/>
    <w:pPr>
      <w:ind w:left="2257"/>
    </w:pPr>
  </w:style>
  <w:style w:type="paragraph" w:customStyle="1" w:styleId="ZTIR2TIRwTIRzmpodwtirwtirtiret">
    <w:name w:val="Z_TIR/2TIR_w_TIR – zm. podw. tir. w tir. tiret"/>
    <w:basedOn w:val="TIRtiret"/>
    <w:uiPriority w:val="78"/>
    <w:qFormat/>
    <w:pPr>
      <w:ind w:left="2177"/>
    </w:pPr>
  </w:style>
  <w:style w:type="paragraph" w:customStyle="1" w:styleId="ZTIRCZWSP2TIRwTIRzmczciwsppodwtirwtirtiret">
    <w:name w:val="Z_TIR/CZ_WSP_2TIR_w_TIR – zm. części wsp. podw. tir. w tir. tiret"/>
    <w:basedOn w:val="CZWSPTIRczwsplnatiret"/>
    <w:uiPriority w:val="79"/>
    <w:qFormat/>
    <w:pPr>
      <w:ind w:left="1780"/>
    </w:pPr>
  </w:style>
  <w:style w:type="paragraph" w:customStyle="1" w:styleId="Z2TIRLITzmlitpodwjnymtiret">
    <w:name w:val="Z_2TIR/LIT – zm. lit. podwójnym tiret"/>
    <w:basedOn w:val="LITlitera"/>
    <w:uiPriority w:val="84"/>
    <w:qFormat/>
    <w:pPr>
      <w:ind w:left="2256"/>
    </w:pPr>
  </w:style>
  <w:style w:type="paragraph" w:customStyle="1" w:styleId="ZZ2TIRwTIRzmianazmpodwtirwtir">
    <w:name w:val="ZZ/2TIR_w_TIR – zmiana zm. podw. tir. w tir."/>
    <w:basedOn w:val="ZZCZWSP2TIRzmianazmczciwsppodwtir"/>
    <w:uiPriority w:val="93"/>
    <w:qFormat/>
    <w:pPr>
      <w:ind w:left="2688" w:hanging="397"/>
    </w:pPr>
  </w:style>
  <w:style w:type="paragraph" w:customStyle="1" w:styleId="ZZ2TIRwLITzmianazmpodwtirwlit">
    <w:name w:val="ZZ/2TIR_w_LIT – zmiana zm. podw. tir. w lit."/>
    <w:basedOn w:val="ZZ2TIRwTIRzmianazmpodwtirwtir"/>
    <w:uiPriority w:val="94"/>
    <w:qFormat/>
    <w:pPr>
      <w:ind w:left="3164"/>
    </w:pPr>
  </w:style>
  <w:style w:type="paragraph" w:customStyle="1" w:styleId="Z2TIRTIRwLITzmtirwlitpodwjnymtiret">
    <w:name w:val="Z_2TIR/TIR_w_LIT – zm. tir. w lit. podwójnym tiret"/>
    <w:basedOn w:val="TIRtiret"/>
    <w:uiPriority w:val="84"/>
    <w:qFormat/>
    <w:pPr>
      <w:ind w:left="2654"/>
    </w:pPr>
  </w:style>
  <w:style w:type="paragraph" w:customStyle="1" w:styleId="Z2TIRCZWSPTIRwLITzmczciwsptirwlitpodwjnymtiret">
    <w:name w:val="Z_2TIR/CZ_WSP_TIR_w_LIT – zm. części wsp. tir. w lit. podwójnym tiret"/>
    <w:basedOn w:val="CZWSPTIRczwsplnatiret"/>
    <w:uiPriority w:val="87"/>
    <w:qFormat/>
    <w:pPr>
      <w:ind w:left="2257"/>
    </w:pPr>
  </w:style>
  <w:style w:type="paragraph" w:customStyle="1" w:styleId="ZZ2TIRwPKTzmianazmpodwtirwpkt">
    <w:name w:val="ZZ/2TIR_w_PKT – zmiana zm. podw. tir. w pkt"/>
    <w:basedOn w:val="ZZ2TIRwLITzmianazmpodwtirwlit"/>
    <w:uiPriority w:val="94"/>
    <w:qFormat/>
    <w:pPr>
      <w:ind w:left="3674"/>
    </w:pPr>
  </w:style>
  <w:style w:type="paragraph" w:customStyle="1" w:styleId="ZZCZWSP2TIRwTIRzmianazmczciwsppodwtirwtir">
    <w:name w:val="ZZ/CZ_WSP_2TIR_w_TIR – zmiana zm. części wsp. podw. tir. w tir."/>
    <w:basedOn w:val="ZZ2TIRwLITzmianazmpodwtirwlit"/>
    <w:uiPriority w:val="94"/>
    <w:qFormat/>
    <w:pPr>
      <w:ind w:left="2291" w:firstLine="0"/>
    </w:pPr>
  </w:style>
  <w:style w:type="paragraph" w:customStyle="1" w:styleId="Z2TIR2TIRwTIRzmpodwtirwtirpodwjnymtiret">
    <w:name w:val="Z_2TIR/2TIR_w_TIR – zm. podw. tir. w tir. podwójnym tiret"/>
    <w:basedOn w:val="TIRtiret"/>
    <w:uiPriority w:val="85"/>
    <w:qFormat/>
    <w:pPr>
      <w:ind w:left="2574"/>
    </w:pPr>
  </w:style>
  <w:style w:type="paragraph" w:customStyle="1" w:styleId="Z2TIRCZWSP2TIRwTIRzmczciwsppodwtirwtiretpodwjnymtiret">
    <w:name w:val="Z_2TIR/CZ_WSP_2TIR_w_TIR – zm. części wsp. podw. tir. w tiret podwójnym tiret"/>
    <w:basedOn w:val="CZWSPTIRczwsplnatiret"/>
    <w:uiPriority w:val="88"/>
    <w:qFormat/>
    <w:pPr>
      <w:ind w:left="2177"/>
    </w:pPr>
  </w:style>
  <w:style w:type="paragraph" w:customStyle="1" w:styleId="Z2TIR2TIRwLITzmpodwtirwlitpodwjnymtiret">
    <w:name w:val="Z_2TIR/2TIR_w_LIT – zm. podw. tir. w lit. podwójnym tiret"/>
    <w:basedOn w:val="TIRtiret"/>
    <w:uiPriority w:val="86"/>
    <w:qFormat/>
    <w:pPr>
      <w:ind w:left="3051"/>
    </w:pPr>
  </w:style>
  <w:style w:type="paragraph" w:customStyle="1" w:styleId="Z2TIRCZWSP2TIRwLITzmczciwsppodwtirwlitpodwjnymtiret">
    <w:name w:val="Z_2TIR/CZ_WSP_2TIR_w_LIT – zm. części wsp. podw. tir. w lit. podwójnym tiret"/>
    <w:basedOn w:val="CZWSPTIRczwsplnatiret"/>
    <w:uiPriority w:val="89"/>
    <w:qFormat/>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pPr>
      <w:ind w:left="510"/>
    </w:pPr>
    <w:rPr>
      <w:b w:val="0"/>
    </w:rPr>
  </w:style>
  <w:style w:type="paragraph" w:customStyle="1" w:styleId="ZROZDZODDZPRZEDMzmprzedmrozdzoddzartykuempunktem">
    <w:name w:val="Z/ROZDZ(ODDZ)_PRZEDM – zm. przedm. rozdz. (oddz.) artykułem (punktem)"/>
    <w:basedOn w:val="ROZDZODDZPRZEDMprzedmiotregulacjirozdziauluboddziau"/>
    <w:uiPriority w:val="29"/>
    <w:qFormat/>
    <w:pPr>
      <w:spacing w:after="120"/>
      <w:ind w:left="510"/>
    </w:pPr>
    <w:rPr>
      <w:b w:val="0"/>
    </w:rPr>
  </w:style>
  <w:style w:type="paragraph" w:styleId="Tekstkomentarza">
    <w:name w:val="annotation text"/>
    <w:basedOn w:val="Normalny"/>
    <w:link w:val="TekstkomentarzaZnak"/>
    <w:uiPriority w:val="99"/>
    <w:qFormat/>
    <w:pPr>
      <w:widowControl w:val="0"/>
      <w:spacing w:line="360" w:lineRule="auto"/>
    </w:pPr>
    <w:rPr>
      <w:sz w:val="20"/>
    </w:rPr>
  </w:style>
  <w:style w:type="character" w:customStyle="1" w:styleId="TekstkomentarzaZnak1">
    <w:name w:val="Tekst komentarza Znak1"/>
    <w:basedOn w:val="Domylnaczcionkaakapitu"/>
    <w:uiPriority w:val="99"/>
    <w:semiHidden/>
    <w:rPr>
      <w:sz w:val="20"/>
      <w:szCs w:val="20"/>
    </w:rPr>
  </w:style>
  <w:style w:type="paragraph" w:styleId="Tematkomentarza">
    <w:name w:val="annotation subject"/>
    <w:basedOn w:val="Tekstkomentarza"/>
    <w:link w:val="TematkomentarzaZnak"/>
    <w:uiPriority w:val="99"/>
    <w:semiHidden/>
    <w:qFormat/>
    <w:rPr>
      <w:b/>
      <w:bCs/>
    </w:rPr>
  </w:style>
  <w:style w:type="character" w:customStyle="1" w:styleId="TematkomentarzaZnak1">
    <w:name w:val="Temat komentarza Znak1"/>
    <w:basedOn w:val="TekstkomentarzaZnak1"/>
    <w:uiPriority w:val="99"/>
    <w:semiHidden/>
    <w:rPr>
      <w:b/>
      <w:bCs/>
      <w:sz w:val="20"/>
      <w:szCs w:val="20"/>
    </w:rPr>
  </w:style>
  <w:style w:type="paragraph" w:customStyle="1" w:styleId="ZZARTzmianazmart">
    <w:name w:val="ZZ/ART(§) – zmiana zm. art. (§)"/>
    <w:basedOn w:val="ZARTzmartartykuempunktem"/>
    <w:uiPriority w:val="65"/>
    <w:qFormat/>
    <w:pPr>
      <w:ind w:left="1894"/>
    </w:pPr>
  </w:style>
  <w:style w:type="paragraph" w:customStyle="1" w:styleId="ZZPKTzmianazmpkt">
    <w:name w:val="ZZ/PKT – zmiana zm. pkt"/>
    <w:basedOn w:val="ZPKTzmpktartykuempunktem"/>
    <w:uiPriority w:val="66"/>
    <w:qFormat/>
    <w:pPr>
      <w:ind w:left="2404"/>
    </w:pPr>
  </w:style>
  <w:style w:type="paragraph" w:customStyle="1" w:styleId="ZZLITwPKTzmianazmlitwpkt">
    <w:name w:val="ZZ/LIT_w_PKT – zmiana zm. lit. w pkt"/>
    <w:basedOn w:val="ZLITwPKTzmlitwpktartykuempunktem"/>
    <w:uiPriority w:val="67"/>
    <w:qFormat/>
    <w:pPr>
      <w:ind w:left="2880"/>
    </w:pPr>
  </w:style>
  <w:style w:type="paragraph" w:customStyle="1" w:styleId="ZZTIRwPKTzmianazmtirwpkt">
    <w:name w:val="ZZ/TIR_w_PKT – zmiana zm. tir. w pkt"/>
    <w:basedOn w:val="ZTIRwPKTzmtirwpktartykuempunktem"/>
    <w:uiPriority w:val="67"/>
    <w:qFormat/>
    <w:pPr>
      <w:ind w:left="3277"/>
    </w:pPr>
  </w:style>
  <w:style w:type="paragraph" w:customStyle="1" w:styleId="ZZWMATFIZCHEMzmwzorumatfizlubchem">
    <w:name w:val="ZZ/W_MAT(FIZ|CHEM) – zm. wzoru mat. (fiz. lub chem.)"/>
    <w:basedOn w:val="ZWMATFIZCHEMzmwzorumatfizlubchemartykuempunktem"/>
    <w:uiPriority w:val="71"/>
    <w:qFormat/>
    <w:pPr>
      <w:ind w:left="2404"/>
    </w:pPr>
  </w:style>
  <w:style w:type="paragraph" w:customStyle="1" w:styleId="ODNONIKtreodnonika">
    <w:name w:val="ODNOŚNIK – treść odnośnika"/>
    <w:uiPriority w:val="19"/>
    <w:qFormat/>
    <w:pPr>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uiPriority w:val="36"/>
    <w:qFormat/>
    <w:pPr>
      <w:ind w:firstLine="0"/>
    </w:pPr>
    <w:rPr>
      <w:rFonts w:ascii="Times New Roman" w:hAnsi="Times New Roman"/>
    </w:rPr>
  </w:style>
  <w:style w:type="paragraph" w:customStyle="1" w:styleId="ZLITFRAGzmlitfragmentunpzdanialiter">
    <w:name w:val="Z_LIT/FRAG – zm. lit. fragmentu (np. zdania) literą"/>
    <w:basedOn w:val="ZLITUSTzmustliter"/>
    <w:uiPriority w:val="52"/>
    <w:qFormat/>
    <w:pPr>
      <w:ind w:firstLine="0"/>
    </w:pPr>
    <w:rPr>
      <w:rFonts w:ascii="Times New Roman" w:hAnsi="Times New Roman"/>
    </w:rPr>
  </w:style>
  <w:style w:type="paragraph" w:customStyle="1" w:styleId="ZTIRFRAGMzmnpwprdowyliczeniatiret">
    <w:name w:val="Z_TIR/FRAGM – zm. np. wpr. do wyliczenia tiret"/>
    <w:basedOn w:val="ZTIRCZWSPPKTzmczciwsppkttiret"/>
    <w:uiPriority w:val="60"/>
    <w:qFormat/>
    <w:rPr>
      <w:rFonts w:ascii="Times New Roman" w:hAnsi="Times New Roman"/>
    </w:rPr>
  </w:style>
  <w:style w:type="paragraph" w:customStyle="1" w:styleId="ZTIRTIRwPKTzmtirwpkttiret">
    <w:name w:val="Z_TIR/TIR_w_PKT – zm. tir. w pkt tiret"/>
    <w:basedOn w:val="ZTIRTIRwLITzmtirwlittiret"/>
    <w:uiPriority w:val="57"/>
    <w:qFormat/>
    <w:pPr>
      <w:ind w:left="2733"/>
    </w:pPr>
  </w:style>
  <w:style w:type="paragraph" w:customStyle="1" w:styleId="ZTIRCZWSPTIRwPKTzmczciwsptirtiret">
    <w:name w:val="Z_TIR/CZ_WSP_TIR_w_PKT – zm. części wsp. tir. tiret"/>
    <w:basedOn w:val="ZTIRTIRwPKTzmtirwpkttiret"/>
    <w:uiPriority w:val="60"/>
    <w:qFormat/>
    <w:pPr>
      <w:ind w:left="2336" w:firstLine="0"/>
    </w:pPr>
  </w:style>
  <w:style w:type="paragraph" w:customStyle="1" w:styleId="SKARNsankcjakarnawszczeglnociwKodeksiekarnym">
    <w:name w:val="S_KARN – sankcja karna w szczególności w Kodeksie karnym"/>
    <w:basedOn w:val="USTustnpkodeksu"/>
    <w:uiPriority w:val="18"/>
    <w:qFormat/>
    <w:pPr>
      <w:ind w:left="510" w:firstLine="0"/>
    </w:pPr>
  </w:style>
  <w:style w:type="paragraph" w:customStyle="1" w:styleId="ROZDZODDZOZNoznaczenierozdziauluboddziau">
    <w:name w:val="ROZDZ(ODDZ)_OZN – oznaczenie rozdziału lub oddziału"/>
    <w:uiPriority w:val="10"/>
    <w:qFormat/>
    <w:pPr>
      <w:keepNext/>
      <w:spacing w:before="120"/>
      <w:jc w:val="center"/>
    </w:pPr>
    <w:rPr>
      <w:rFonts w:ascii="Times" w:eastAsiaTheme="minorEastAsia" w:hAnsi="Times" w:cs="Arial"/>
      <w:bCs/>
      <w:lang w:eastAsia="pl-PL"/>
    </w:rPr>
  </w:style>
  <w:style w:type="paragraph" w:customStyle="1" w:styleId="Z2TIR2TIRzmpodwtirpodwjnymtiret">
    <w:name w:val="Z_2TIR/2TIR – zm. podw. tir. podwójnym tiret"/>
    <w:basedOn w:val="TIRtiret"/>
    <w:uiPriority w:val="85"/>
    <w:qFormat/>
    <w:pPr>
      <w:ind w:left="2177"/>
    </w:pPr>
  </w:style>
  <w:style w:type="paragraph" w:customStyle="1" w:styleId="Z2TIRTIRzmtirpodwjnymtiret">
    <w:name w:val="Z_2TIR/TIR – zm. tir. podwójnym tiret"/>
    <w:basedOn w:val="TIRtiret"/>
    <w:uiPriority w:val="84"/>
    <w:qFormat/>
    <w:pPr>
      <w:ind w:left="2177"/>
    </w:pPr>
  </w:style>
  <w:style w:type="paragraph" w:customStyle="1" w:styleId="ZSKARNzmsankcjikarnejwszczeglnociwKodeksiekarnym">
    <w:name w:val="Z/S_KARN – zm. sankcji karnej w szczególności w Kodeksie karnym"/>
    <w:basedOn w:val="SKARNsankcjakarnawszczeglnociwKodeksiekarnym"/>
    <w:uiPriority w:val="37"/>
    <w:qFormat/>
    <w:pPr>
      <w:ind w:left="1021"/>
    </w:pPr>
  </w:style>
  <w:style w:type="paragraph" w:customStyle="1" w:styleId="ZLITSKARNzmsankcjikarnejliter">
    <w:name w:val="Z_LIT/S_KARN – zm. sankcji karnej literą"/>
    <w:basedOn w:val="ZSKARNzmsankcjikarnejwszczeglnociwKodeksiekarnym"/>
    <w:uiPriority w:val="53"/>
    <w:qFormat/>
    <w:pPr>
      <w:ind w:left="1497"/>
    </w:pPr>
  </w:style>
  <w:style w:type="paragraph" w:customStyle="1" w:styleId="ZCYTzmcytatunpprzysigiartykuempunktem">
    <w:name w:val="Z/CYT – zm. cytatu np. przysięgi artykułem (punktem)"/>
    <w:basedOn w:val="CYTcytatnpprzysigi"/>
    <w:uiPriority w:val="37"/>
    <w:qFormat/>
    <w:pPr>
      <w:ind w:left="1021"/>
    </w:pPr>
  </w:style>
  <w:style w:type="paragraph" w:customStyle="1" w:styleId="ZCZWSP2TIRwPKTzmczciwsppodwtirwpktartykuempunktem">
    <w:name w:val="Z/CZ_WSP_2TIR_w_PKT – zm. części wsp. podw. tir. w pkt artykułem (punktem)"/>
    <w:basedOn w:val="Z2TIRwPKTzmpodwtirwpktartykuempunktem"/>
    <w:uiPriority w:val="75"/>
    <w:qFormat/>
    <w:pPr>
      <w:ind w:left="1894" w:firstLine="0"/>
    </w:pPr>
  </w:style>
  <w:style w:type="paragraph" w:customStyle="1" w:styleId="Z2TIRwLITzmpodwtirwlitartykuempunktem">
    <w:name w:val="Z/2TIR_w_LIT – zm. podw. tir. w lit. artykułem (punktem)"/>
    <w:basedOn w:val="Z2TIRwPKTzmpodwtirwpktartykuempunktem"/>
    <w:uiPriority w:val="74"/>
    <w:qFormat/>
    <w:pPr>
      <w:ind w:left="1780"/>
    </w:pPr>
  </w:style>
  <w:style w:type="paragraph" w:customStyle="1" w:styleId="Z2TIRwTIRzmpodwtirwtirartykuempunktem">
    <w:name w:val="Z/2TIR_w_TIR – zm. podw. tir. w tir. artykułem (punktem)"/>
    <w:basedOn w:val="Z2TIRwLITzmpodwtirwlitartykuempunktem"/>
    <w:uiPriority w:val="73"/>
    <w:qFormat/>
    <w:pPr>
      <w:ind w:left="1304"/>
    </w:pPr>
  </w:style>
  <w:style w:type="paragraph" w:customStyle="1" w:styleId="ZCZWSP2TIRwTIRzmczciwsppodwtirwtirartykuempunktem">
    <w:name w:val="Z/CZ_WSP_2TIR_w_TIR – zm. części wsp. podw. tir. w tir. artykułem (punktem)"/>
    <w:basedOn w:val="Z2TIRwTIRzmpodwtirwtirartykuempunktem"/>
    <w:uiPriority w:val="74"/>
    <w:qFormat/>
    <w:pPr>
      <w:ind w:left="907" w:firstLine="0"/>
    </w:pPr>
  </w:style>
  <w:style w:type="paragraph" w:customStyle="1" w:styleId="ZCZWSP2TIRwLITzmczciwsppodwtirwlitartykuempunktem">
    <w:name w:val="Z/CZ_WSP_2TIR_w_LIT – zm. części wsp. podw. tir. w lit. artykułem (punktem)"/>
    <w:basedOn w:val="Z2TIRwLITzmpodwtirwlitartykuempunktem"/>
    <w:uiPriority w:val="75"/>
    <w:qFormat/>
    <w:pPr>
      <w:ind w:left="1383" w:firstLine="0"/>
    </w:pPr>
  </w:style>
  <w:style w:type="paragraph" w:customStyle="1" w:styleId="ZZCZWSP2TIRzmianazmczciwsppodwtir">
    <w:name w:val="ZZ/CZ_WSP_2TIR – zmiana zm. części wsp. podw. tir."/>
    <w:basedOn w:val="ZZTIRzmianazmtir"/>
    <w:uiPriority w:val="94"/>
    <w:qFormat/>
    <w:pPr>
      <w:ind w:left="1894" w:firstLine="0"/>
    </w:pPr>
  </w:style>
  <w:style w:type="paragraph" w:customStyle="1" w:styleId="PKTODNONIKApunktodnonika">
    <w:name w:val="PKT_ODNOŚNIKA – punkt odnośnika"/>
    <w:basedOn w:val="ODNONIKtreodnonika"/>
    <w:uiPriority w:val="19"/>
    <w:qFormat/>
    <w:pPr>
      <w:ind w:left="568"/>
    </w:pPr>
  </w:style>
  <w:style w:type="paragraph" w:customStyle="1" w:styleId="ZODNONIKAzmtekstuodnonikaartykuempunktem">
    <w:name w:val="Z/ODNOŚNIKA – zm. tekstu odnośnika artykułem (punktem)"/>
    <w:basedOn w:val="ODNONIKtreodnonika"/>
    <w:uiPriority w:val="39"/>
    <w:qFormat/>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pPr>
      <w:ind w:left="1304"/>
    </w:pPr>
  </w:style>
  <w:style w:type="paragraph" w:customStyle="1" w:styleId="ZPKTODNONIKAzmpktodnonikaartykuempunktem">
    <w:name w:val="Z/PKT_ODNOŚNIKA – zm. pkt odnośnika artykułem (punktem)"/>
    <w:basedOn w:val="ZODNONIKAzmtekstuodnonikaartykuempunktem"/>
    <w:uiPriority w:val="39"/>
    <w:qFormat/>
  </w:style>
  <w:style w:type="paragraph" w:customStyle="1" w:styleId="ZLIT2TIRwTIRzmpodwtirwtirliter">
    <w:name w:val="Z_LIT/2TIR_w_TIR – zm. podw. tir. w tir. literą"/>
    <w:basedOn w:val="ZLIT2TIRzmpodwtirliter"/>
    <w:uiPriority w:val="75"/>
    <w:qFormat/>
    <w:pPr>
      <w:ind w:left="1780"/>
    </w:pPr>
  </w:style>
  <w:style w:type="paragraph" w:customStyle="1" w:styleId="ZLIT2TIRwLITzmpodwtirwlitliter">
    <w:name w:val="Z_LIT/2TIR_w_LIT – zm. podw. tir. w lit. literą"/>
    <w:basedOn w:val="ZLIT2TIRwTIRzmpodwtirwtirliter"/>
    <w:uiPriority w:val="76"/>
    <w:qFormat/>
    <w:pPr>
      <w:ind w:left="2257"/>
    </w:pPr>
  </w:style>
  <w:style w:type="paragraph" w:customStyle="1" w:styleId="ZLIT2TIRwPKTzmpodwtirwpktliter">
    <w:name w:val="Z_LIT/2TIR_w_PKT – zm. podw. tir. w pkt literą"/>
    <w:basedOn w:val="ZLIT2TIRwLITzmpodwtirwlitliter"/>
    <w:uiPriority w:val="76"/>
    <w:qFormat/>
    <w:pPr>
      <w:ind w:left="2767"/>
    </w:pPr>
  </w:style>
  <w:style w:type="paragraph" w:customStyle="1" w:styleId="ZLITCZWSP2TIRwTIRzmczciwsppodwtirwtirliter">
    <w:name w:val="Z_LIT/CZ_WSP_2TIR_w_TIR – zm. części wsp. podw. tir. w tir. literą"/>
    <w:basedOn w:val="ZLIT2TIRwTIRzmpodwtirwtirliter"/>
    <w:uiPriority w:val="76"/>
    <w:qFormat/>
    <w:pPr>
      <w:ind w:left="1383" w:firstLine="0"/>
    </w:pPr>
  </w:style>
  <w:style w:type="paragraph" w:customStyle="1" w:styleId="ZLITCZWSP2TIRwLITzmczciwsppodwtirwlitliter">
    <w:name w:val="Z_LIT/CZ_WSP_2TIR_w_LIT – zm. części wsp. podw. tir. w lit. literą"/>
    <w:basedOn w:val="ZLIT2TIRwLITzmpodwtirwlitliter"/>
    <w:uiPriority w:val="77"/>
    <w:qFormat/>
    <w:pPr>
      <w:ind w:left="1860" w:firstLine="0"/>
    </w:pPr>
  </w:style>
  <w:style w:type="paragraph" w:customStyle="1" w:styleId="ZLITCZWSP2TIRwPKTzmczciwsppodwtirwpktliter">
    <w:name w:val="Z_LIT/CZ_WSP_2TIR_w_PKT – zm. części wsp. podw. tir. w pkt literą"/>
    <w:basedOn w:val="ZLIT2TIRwPKTzmpodwtirwpktliter"/>
    <w:uiPriority w:val="77"/>
    <w:qFormat/>
    <w:pPr>
      <w:ind w:left="2370" w:firstLine="0"/>
    </w:pPr>
  </w:style>
  <w:style w:type="paragraph" w:customStyle="1" w:styleId="ZTIR2TIRwPKTzmpodwtirwpkttiret">
    <w:name w:val="Z_TIR/2TIR_w_PKT – zm. podw. tir. w pkt tiret"/>
    <w:basedOn w:val="ZTIR2TIRwLITzmpodwtirwlittiret"/>
    <w:uiPriority w:val="79"/>
    <w:qFormat/>
    <w:pPr>
      <w:ind w:left="3164"/>
    </w:pPr>
  </w:style>
  <w:style w:type="paragraph" w:customStyle="1" w:styleId="ZTIRCZWSP2TIRwPKTzmczciwsppodwtirwpkttiret">
    <w:name w:val="Z_TIR/CZ_WSP_2TIR_w_PKT – zm. części wsp. podw. tir. w pkt tiret"/>
    <w:basedOn w:val="ZTIR2TIRwPKTzmpodwtirwpkttiret"/>
    <w:uiPriority w:val="80"/>
    <w:qFormat/>
    <w:pPr>
      <w:ind w:left="2767" w:firstLine="0"/>
    </w:pPr>
  </w:style>
  <w:style w:type="paragraph" w:customStyle="1" w:styleId="ZZCZWSP2TIRwLITzmianazmczciwsppodwtirwlit">
    <w:name w:val="ZZ/CZ_WSP_2TIR_w_LIT – zmiana zm. części wsp. podw. tir. w lit."/>
    <w:basedOn w:val="ZZ2TIRwLITzmianazmpodwtirwlit"/>
    <w:uiPriority w:val="95"/>
    <w:qFormat/>
    <w:pPr>
      <w:ind w:left="2767"/>
    </w:pPr>
  </w:style>
  <w:style w:type="paragraph" w:customStyle="1" w:styleId="ZZCZWSP2TIRwPKTzmianazmczciwsppodwtirwpkt">
    <w:name w:val="ZZ/CZ_WSP_2TIR_w_PKT – zmiana zm. części wsp. podw. tir. w pkt"/>
    <w:basedOn w:val="ZZ2TIRwLITzmianazmpodwtirwlit"/>
    <w:uiPriority w:val="95"/>
    <w:qFormat/>
    <w:pPr>
      <w:ind w:left="3277" w:firstLine="0"/>
    </w:pPr>
  </w:style>
  <w:style w:type="paragraph" w:customStyle="1" w:styleId="ZCZWSP2TIRzmczciwsplnejpodwtirartykuempunktem">
    <w:name w:val="Z/CZ_WSP_2TIR – zm. części wspólnej podw. tir. artykułem (punktem)"/>
    <w:basedOn w:val="ZCZWSPPKTzmczciwsppktartykuempunktem"/>
    <w:uiPriority w:val="74"/>
    <w:qFormat/>
  </w:style>
  <w:style w:type="paragraph" w:customStyle="1" w:styleId="ZLITCZWSP2TIRzmczciwsppodwtirliter">
    <w:name w:val="Z_LIT/CZ_WSP_2TIR – zm. części wsp. podw. tir. literą"/>
    <w:basedOn w:val="ZLITCZWSPPKTzmczciwsppktliter"/>
    <w:uiPriority w:val="76"/>
    <w:qFormat/>
  </w:style>
  <w:style w:type="paragraph" w:customStyle="1" w:styleId="ZTIRCZWSP2TIRzmczciwsppodwtirtiret">
    <w:name w:val="Z_TIR/CZ_WSP_2TIR – zm. części wsp. podw. tir. tiret"/>
    <w:basedOn w:val="ZLITCZWSP2TIRzmczciwsppodwtirliter"/>
    <w:uiPriority w:val="79"/>
    <w:qFormat/>
  </w:style>
  <w:style w:type="paragraph" w:customStyle="1" w:styleId="ZZ2TIRzmianazmpodwtir">
    <w:name w:val="ZZ/2TIR – zmiana zm. podw. tir."/>
    <w:basedOn w:val="ZZCZWSP2TIRzmianazmczciwsppodwtir"/>
    <w:uiPriority w:val="93"/>
    <w:qFormat/>
    <w:pPr>
      <w:ind w:left="2291" w:hanging="397"/>
    </w:pPr>
  </w:style>
  <w:style w:type="paragraph" w:customStyle="1" w:styleId="ZCZWSPLITzmczciwsplitartykuempunktem">
    <w:name w:val="Z/CZ_WSP_LIT – zm. części wsp. lit. artykułem (punktem)"/>
    <w:basedOn w:val="ZCZWSPPKTzmczciwsppktartykuempunktem"/>
    <w:uiPriority w:val="35"/>
    <w:qFormat/>
  </w:style>
  <w:style w:type="paragraph" w:customStyle="1" w:styleId="ZCZWSPTIRzmczciwsptirartykuempunktem">
    <w:name w:val="Z/CZ_WSP_TIR – zm. części wsp. tir. artykułem (punktem)"/>
    <w:basedOn w:val="ZCZWSPPKTzmczciwsppktartykuempunktem"/>
    <w:uiPriority w:val="35"/>
    <w:qFormat/>
  </w:style>
  <w:style w:type="paragraph" w:customStyle="1" w:styleId="ZLITCZWSPLITzmczciwsplitliter">
    <w:name w:val="Z_LIT/CZ_WSP_LIT – zm. części wsp. lit. literą"/>
    <w:basedOn w:val="ZLITCZWSPPKTzmczciwsppktliter"/>
    <w:uiPriority w:val="51"/>
    <w:qFormat/>
  </w:style>
  <w:style w:type="paragraph" w:customStyle="1" w:styleId="ZLITCZWSPTIRzmczciwsptirliter">
    <w:name w:val="Z_LIT/CZ_WSP_TIR – zm. części wsp. tir. literą"/>
    <w:basedOn w:val="ZLITCZWSPPKTzmczciwsppktliter"/>
    <w:uiPriority w:val="51"/>
    <w:qFormat/>
  </w:style>
  <w:style w:type="paragraph" w:customStyle="1" w:styleId="ZTIRCZWSPLITzmczciwsplittiret">
    <w:name w:val="Z_TIR/CZ_WSP_LIT – zm. części wsp. lit. tiret"/>
    <w:basedOn w:val="ZTIRCZWSPPKTzmczciwsppkttiret"/>
    <w:uiPriority w:val="59"/>
    <w:qFormat/>
  </w:style>
  <w:style w:type="paragraph" w:customStyle="1" w:styleId="ZTIRCZWSPTIRzmczciwsptirtiret">
    <w:name w:val="Z_TIR/CZ_WSP_TIR – zm. części wsp. tir. tiret"/>
    <w:basedOn w:val="ZTIRCZWSPPKTzmczciwsppkttiret"/>
    <w:uiPriority w:val="60"/>
    <w:qFormat/>
  </w:style>
  <w:style w:type="paragraph" w:customStyle="1" w:styleId="ZZCZWSPLITzmianazmczciwsplit">
    <w:name w:val="ZZ/CZ_WSP_LIT – zmiana. zm. części wsp. lit."/>
    <w:basedOn w:val="ZZCZWSPPKTzmianazmczciwsppkt"/>
    <w:uiPriority w:val="69"/>
    <w:qFormat/>
  </w:style>
  <w:style w:type="paragraph" w:customStyle="1" w:styleId="ZZCZWSPTIRzmianazmczciwsptir">
    <w:name w:val="ZZ/CZ_WSP_TIR – zmiana. zm. części wsp. tir."/>
    <w:basedOn w:val="ZZCZWSPPKTzmianazmczciwsppkt"/>
    <w:uiPriority w:val="69"/>
    <w:qFormat/>
  </w:style>
  <w:style w:type="paragraph" w:customStyle="1" w:styleId="Z2TIRCZWSPTIRzmczciwsptirpodwjnymtiret">
    <w:name w:val="Z_2TIR/CZ_WSP_TIR – zm. części wsp. tir. podwójnym tiret"/>
    <w:basedOn w:val="Z2TIRCZWSPLITzmczciwsplitpodwjnymtiret"/>
    <w:uiPriority w:val="87"/>
    <w:qFormat/>
  </w:style>
  <w:style w:type="paragraph" w:customStyle="1" w:styleId="Z2TIRCZWSP2TIRzmczciwsppodwtirpodwjnymtiret">
    <w:name w:val="Z_2TIR/CZ_WSP_2TIR – zm. części wsp. podw. tir. podwójnym tiret"/>
    <w:basedOn w:val="Z2TIRCZWSPLITzmczciwsplitpodwjnymtiret"/>
    <w:uiPriority w:val="88"/>
    <w:qFormat/>
  </w:style>
  <w:style w:type="paragraph" w:customStyle="1" w:styleId="ZUSTzmustartykuempunktem">
    <w:name w:val="Z/UST(§) – zm. ust. (§) artykułem (punktem)"/>
    <w:basedOn w:val="ZARTzmartartykuempunktem"/>
    <w:uiPriority w:val="30"/>
    <w:qFormat/>
  </w:style>
  <w:style w:type="paragraph" w:customStyle="1" w:styleId="ZZUSTzmianazmust">
    <w:name w:val="ZZ/UST(§) – zmiana zm. ust. (§)"/>
    <w:basedOn w:val="ZZARTzmianazmart"/>
    <w:uiPriority w:val="65"/>
    <w:qFormat/>
  </w:style>
  <w:style w:type="paragraph" w:customStyle="1" w:styleId="TYTDZPRZEDMprzedmiotregulacjitytuulubdziau">
    <w:name w:val="TYT(DZ)_PRZEDM – przedmiot regulacji tytułu lub działu"/>
    <w:uiPriority w:val="9"/>
    <w:qFormat/>
    <w:pPr>
      <w:keepNext/>
      <w:spacing w:before="120"/>
      <w:jc w:val="center"/>
    </w:pPr>
    <w:rPr>
      <w:rFonts w:ascii="Times" w:eastAsia="Times New Roman" w:hAnsi="Times" w:cs="Times New Roman"/>
      <w:b/>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pPr>
      <w:ind w:left="510"/>
    </w:pPr>
  </w:style>
  <w:style w:type="paragraph" w:customStyle="1" w:styleId="ZZCZCIKSIGIzmianazmozniprzedmczciksigiartykuempunktem">
    <w:name w:val="ZZ/CZĘŚCI(KSIĘGI) – zmiana zm. ozn. i przedm. części (księgi) artykułem (punktem)"/>
    <w:basedOn w:val="ZCZCIKSIGIzmozniprzedmczciksigiartykuempunktem"/>
    <w:uiPriority w:val="63"/>
    <w:qFormat/>
    <w:pPr>
      <w:spacing w:before="0"/>
      <w:ind w:left="1894"/>
    </w:pPr>
  </w:style>
  <w:style w:type="paragraph" w:customStyle="1" w:styleId="ZZTYTDZOZNzmianazmozntytuudziauartykuempunktem">
    <w:name w:val="ZZ/TYT(DZ)_OZN – zmiana zm. ozn. tytułu (działu) artykułem (punktem)"/>
    <w:basedOn w:val="ZTYTDZOZNzmozntytuudziauartykuempunktem"/>
    <w:uiPriority w:val="63"/>
    <w:qFormat/>
    <w:pPr>
      <w:ind w:left="1894"/>
    </w:pPr>
  </w:style>
  <w:style w:type="paragraph" w:customStyle="1" w:styleId="ZZTYTDZPRZEDMzmianazmprzedmtytuulubdziauartykuempunktem">
    <w:name w:val="ZZ/TYT(DZ)_PRZEDM – zmiana zm. przedm. tytułu lub działu artykułem (punktem)"/>
    <w:basedOn w:val="ZTYTDZPRZEDMzmprzedmtytuulubdziauartykuempunktem"/>
    <w:uiPriority w:val="63"/>
    <w:qFormat/>
    <w:pPr>
      <w:ind w:left="1894"/>
    </w:pPr>
  </w:style>
  <w:style w:type="paragraph" w:customStyle="1" w:styleId="ZZROZDZODDZOZNzmianazmoznrozdzoddzartykuempunktem">
    <w:name w:val="ZZ/ROZDZ(ODDZ)_OZN – zmiana zm. ozn. rozdz. (oddz.) artykułem (punktem)"/>
    <w:basedOn w:val="ZROZDZODDZOZNzmoznrozdzoddzartykuempunktem"/>
    <w:uiPriority w:val="64"/>
    <w:qFormat/>
    <w:pPr>
      <w:ind w:left="1894"/>
    </w:pPr>
  </w:style>
  <w:style w:type="paragraph" w:customStyle="1" w:styleId="ZZROZDZODDZPRZEDMzmianazmprzedmrozdzoddzartykuempunktem">
    <w:name w:val="ZZ/ROZDZ(ODDZ)_PRZEDM – zmiana zm. przedm. rozdz. (oddz.) artykułem (punktem)"/>
    <w:basedOn w:val="ZROZDZODDZPRZEDMzmprzedmrozdzoddzartykuempunktem"/>
    <w:uiPriority w:val="64"/>
    <w:qFormat/>
    <w:pPr>
      <w:ind w:left="1894"/>
    </w:pPr>
  </w:style>
  <w:style w:type="paragraph" w:customStyle="1" w:styleId="P1wTABELIpoziom1numeracjiwtabeli">
    <w:name w:val="P1_w_TABELI – poziom 1 numeracji w tabeli"/>
    <w:basedOn w:val="PKTpunkt"/>
    <w:uiPriority w:val="24"/>
    <w:qFormat/>
    <w:pPr>
      <w:ind w:left="397" w:hanging="397"/>
    </w:pPr>
  </w:style>
  <w:style w:type="paragraph" w:customStyle="1" w:styleId="CZWSPP1wTABELIczwsppoziomu1numeracjiwtabeli">
    <w:name w:val="CZ_WSP_P1_w_TABELI – część wsp. poziomu 1 numeracji w tabeli"/>
    <w:basedOn w:val="P1wTABELIpoziom1numeracjiwtabeli"/>
    <w:uiPriority w:val="25"/>
    <w:qFormat/>
    <w:pPr>
      <w:ind w:left="0" w:firstLine="0"/>
    </w:pPr>
  </w:style>
  <w:style w:type="paragraph" w:customStyle="1" w:styleId="P2wTABELIpoziom2numeracjiwtabeli">
    <w:name w:val="P2_w_TABELI – poziom 2 numeracji w tabeli"/>
    <w:basedOn w:val="P1wTABELIpoziom1numeracjiwtabeli"/>
    <w:uiPriority w:val="24"/>
    <w:qFormat/>
    <w:pPr>
      <w:ind w:left="794"/>
    </w:pPr>
  </w:style>
  <w:style w:type="paragraph" w:customStyle="1" w:styleId="P3wTABELIpoziom3numeracjiwtabeli">
    <w:name w:val="P3_w_TABELI – poziom 3 numeracji w tabeli"/>
    <w:basedOn w:val="P2wTABELIpoziom2numeracjiwtabeli"/>
    <w:uiPriority w:val="24"/>
    <w:qFormat/>
    <w:pPr>
      <w:ind w:left="1191"/>
    </w:pPr>
  </w:style>
  <w:style w:type="paragraph" w:customStyle="1" w:styleId="CZWSPP2wTABELIczwsppoziomu2numeracjiwtabeli">
    <w:name w:val="CZ_WSP_P2_w_TABELI – część wsp. poziomu 2 numeracji w tabeli"/>
    <w:basedOn w:val="CZWSPP1wTABELIczwsppoziomu1numeracjiwtabeli"/>
    <w:uiPriority w:val="25"/>
    <w:qFormat/>
    <w:pPr>
      <w:ind w:left="397"/>
    </w:pPr>
  </w:style>
  <w:style w:type="paragraph" w:customStyle="1" w:styleId="CZWSPP3wTABELIczwsppoziomu3numeracjiwtabeli">
    <w:name w:val="CZ_WSP_P3_w_TABELI – część wsp. poziomu 3 numeracji w tabeli"/>
    <w:basedOn w:val="CZWSPP2wTABELIczwsppoziomu2numeracjiwtabeli"/>
    <w:uiPriority w:val="25"/>
    <w:qFormat/>
    <w:pPr>
      <w:ind w:left="794"/>
    </w:pPr>
  </w:style>
  <w:style w:type="paragraph" w:customStyle="1" w:styleId="CZWSPP4wTABELIczwsppoziomu4numeracjiwtabeli">
    <w:name w:val="CZ_WSP_P4_w_TABELI – część wsp. poziomu 4 numeracji w tabeli"/>
    <w:basedOn w:val="CZWSPP3wTABELIczwsppoziomu3numeracjiwtabeli"/>
    <w:uiPriority w:val="25"/>
    <w:qFormat/>
    <w:pPr>
      <w:ind w:left="1191"/>
    </w:pPr>
  </w:style>
  <w:style w:type="paragraph" w:customStyle="1" w:styleId="P4wTABELIpoziom4numeracjiwtabeli">
    <w:name w:val="P4_w_TABELI – poziom 4 numeracji w tabeli"/>
    <w:basedOn w:val="P3wTABELIpoziom3numeracjiwtabeli"/>
    <w:uiPriority w:val="24"/>
    <w:qFormat/>
    <w:pPr>
      <w:ind w:left="1588"/>
    </w:pPr>
  </w:style>
  <w:style w:type="paragraph" w:customStyle="1" w:styleId="TYTTABELItytutabeli">
    <w:name w:val="TYT_TABELI – tytuł tabeli"/>
    <w:basedOn w:val="TYTDZOZNoznaczenietytuulubdziau"/>
    <w:uiPriority w:val="22"/>
    <w:qFormat/>
    <w:rPr>
      <w:b/>
    </w:rPr>
  </w:style>
  <w:style w:type="paragraph" w:customStyle="1" w:styleId="OZNPROJEKTUwskazaniedatylubwersjiprojektu">
    <w:name w:val="OZN_PROJEKTU – wskazanie daty lub wersji projektu"/>
    <w:qFormat/>
    <w:pPr>
      <w:jc w:val="right"/>
    </w:pPr>
    <w:rPr>
      <w:rFonts w:ascii="Times New Roman" w:eastAsiaTheme="minorEastAsia" w:hAnsi="Times New Roman" w:cs="Arial"/>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pPr>
      <w:ind w:left="0" w:right="4820"/>
      <w:jc w:val="left"/>
    </w:pPr>
  </w:style>
  <w:style w:type="paragraph" w:customStyle="1" w:styleId="TEKSTwporozumieniu">
    <w:name w:val="TEKST&quot;w porozumieniu:&quot;"/>
    <w:uiPriority w:val="27"/>
    <w:qFormat/>
    <w:rPr>
      <w:rFonts w:ascii="Times New Roman" w:eastAsiaTheme="minorEastAsia" w:hAnsi="Times New Roman" w:cs="Arial"/>
      <w:b/>
      <w:szCs w:val="20"/>
      <w:lang w:eastAsia="pl-PL"/>
    </w:rPr>
  </w:style>
  <w:style w:type="paragraph" w:customStyle="1" w:styleId="CZWSPPKTODNONIKAczwsppunkwodnonika">
    <w:name w:val="CZ_WSP_PKT_ODNOŚNIKA – część wsp. punków odnośnika"/>
    <w:basedOn w:val="PKTODNONIKApunktodnonika"/>
    <w:uiPriority w:val="21"/>
    <w:qFormat/>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uiPriority w:val="41"/>
    <w:qFormat/>
    <w:pPr>
      <w:ind w:left="510" w:firstLine="0"/>
    </w:pPr>
  </w:style>
  <w:style w:type="paragraph" w:customStyle="1" w:styleId="NOTATKILEGISLATORA">
    <w:name w:val="NOTATKI_LEGISLATORA"/>
    <w:basedOn w:val="Normalny"/>
    <w:uiPriority w:val="5"/>
    <w:qFormat/>
    <w:pPr>
      <w:widowControl w:val="0"/>
      <w:spacing w:line="360" w:lineRule="auto"/>
    </w:pPr>
    <w:rPr>
      <w:rFonts w:ascii="Times New Roman" w:eastAsiaTheme="minorEastAsia" w:hAnsi="Times New Roman" w:cs="Arial"/>
      <w:b/>
      <w:i/>
      <w:szCs w:val="20"/>
      <w:lang w:eastAsia="pl-PL"/>
    </w:rPr>
  </w:style>
  <w:style w:type="paragraph" w:customStyle="1" w:styleId="OZNZACZNIKAwskazanienrzacznika">
    <w:name w:val="OZN_ZAŁĄCZNIKA – wskazanie nr załącznika"/>
    <w:basedOn w:val="OZNPROJEKTUwskazaniedatylubwersjiprojektu"/>
    <w:uiPriority w:val="28"/>
    <w:qFormat/>
    <w:pPr>
      <w:keepNext/>
    </w:pPr>
    <w:rPr>
      <w:b/>
      <w:u w:val="none"/>
    </w:rPr>
  </w:style>
  <w:style w:type="paragraph" w:customStyle="1" w:styleId="OZNPARAFYADNOTACJE">
    <w:name w:val="OZN_PARAFY(ADNOTACJE)"/>
    <w:basedOn w:val="ODNONIKtreodnonika"/>
    <w:uiPriority w:val="26"/>
    <w:qFormat/>
  </w:style>
  <w:style w:type="paragraph" w:customStyle="1" w:styleId="TEKSTZacznikido">
    <w:name w:val="TEKST&quot;Załącznik(i) do ...&quot;"/>
    <w:uiPriority w:val="28"/>
    <w:qFormat/>
    <w:pPr>
      <w:keepNext/>
      <w:spacing w:after="240"/>
      <w:ind w:left="5670"/>
      <w:contextualSpacing/>
    </w:pPr>
    <w:rPr>
      <w:rFonts w:ascii="Times New Roman" w:eastAsiaTheme="minorEastAsia" w:hAnsi="Times New Roman" w:cs="Arial"/>
      <w:szCs w:val="20"/>
      <w:lang w:eastAsia="pl-PL"/>
    </w:rPr>
  </w:style>
  <w:style w:type="paragraph" w:customStyle="1" w:styleId="LITODNONIKAliteraodnonika">
    <w:name w:val="LIT_ODNOŚNIKA – litera odnośnika"/>
    <w:basedOn w:val="PKTODNONIKApunktodnonika"/>
    <w:uiPriority w:val="20"/>
    <w:qFormat/>
    <w:pPr>
      <w:ind w:left="851"/>
    </w:pPr>
  </w:style>
  <w:style w:type="paragraph" w:customStyle="1" w:styleId="CZWSPLITODNONIKAczwspliterodnonika">
    <w:name w:val="CZ_WSP_LIT_ODNOŚNIKA – część wsp. liter odnośnika"/>
    <w:basedOn w:val="LITODNONIKAliteraodnonika"/>
    <w:uiPriority w:val="22"/>
    <w:qFormat/>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pPr>
      <w:ind w:left="-510"/>
    </w:pPr>
  </w:style>
  <w:style w:type="paragraph" w:customStyle="1" w:styleId="ZLITODNONIKAzmlitodnonikaartykuempunktem">
    <w:name w:val="Z/LIT_ODNOŚNIKA – zm. lit. odnośnika artykułem (punktem)"/>
    <w:basedOn w:val="ZPKTODNONIKAzmpktodnonikaartykuempunktem"/>
    <w:uiPriority w:val="40"/>
    <w:qFormat/>
  </w:style>
  <w:style w:type="paragraph" w:customStyle="1" w:styleId="ZLITwPKTODNONIKAzmlitwpktodnonikaartykuempunktem">
    <w:name w:val="Z/LIT_w_PKT_ODNOŚNIKA – zm. lit. w pkt odnośnika artykułem (punktem)"/>
    <w:basedOn w:val="ZLITODNONIKAzmlitodnonikaartykuempunktem"/>
    <w:uiPriority w:val="40"/>
    <w:qFormat/>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uiPriority w:val="42"/>
    <w:qFormat/>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pPr>
      <w:ind w:left="1304"/>
    </w:pPr>
  </w:style>
  <w:style w:type="paragraph" w:customStyle="1" w:styleId="ZDANIENASTNOWYWIERSZnpzddrugienowywierszwust">
    <w:name w:val="ZDANIE_NAST_NOWY_WIERSZ – np. zd. drugie (nowy wiersz) w ust."/>
    <w:basedOn w:val="CZWSPPKTczwsplnapunktw"/>
    <w:uiPriority w:val="17"/>
    <w:qFormat/>
  </w:style>
  <w:style w:type="paragraph" w:customStyle="1" w:styleId="ZZFRAGzmianazmfragmentunpzdania">
    <w:name w:val="ZZ/FRAG – zmiana zm. fragmentu (np. zdania)"/>
    <w:basedOn w:val="ZZCZWSPPKTzmianazmczciwsppkt"/>
    <w:uiPriority w:val="70"/>
    <w:qFormat/>
  </w:style>
  <w:style w:type="paragraph" w:customStyle="1" w:styleId="Z2TIRPKTzmpktpodwjnymtiret">
    <w:name w:val="Z_2TIR/PKT – zm. pkt podwójnym tiret"/>
    <w:basedOn w:val="Z2TIRLITzmlitpodwjnymtiret"/>
    <w:uiPriority w:val="83"/>
    <w:qFormat/>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pPr>
      <w:ind w:left="1780" w:firstLine="510"/>
    </w:pPr>
  </w:style>
  <w:style w:type="paragraph" w:customStyle="1" w:styleId="Z2TIRUSTzmustpodwjnymtiret">
    <w:name w:val="Z_2TIR/UST(§) – zm. ust. (§) podwójnym tiret"/>
    <w:basedOn w:val="Z2TIRPKTzmpktpodwjnymtiret"/>
    <w:uiPriority w:val="82"/>
    <w:qFormat/>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pPr>
      <w:ind w:left="3164" w:firstLine="0"/>
    </w:pPr>
  </w:style>
  <w:style w:type="paragraph" w:customStyle="1" w:styleId="Z2TIRCZWSPPKTzmczciwsppktpodwjnymtiret">
    <w:name w:val="Z_2TIR/CZ_WSP_PKT – zm. części wsp. pkt podwójnym tiret"/>
    <w:basedOn w:val="Z2TIRPKTzmpktpodwjnymtiret"/>
    <w:uiPriority w:val="86"/>
    <w:qFormat/>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pPr>
      <w:ind w:left="2767" w:firstLine="0"/>
    </w:pPr>
  </w:style>
  <w:style w:type="paragraph" w:customStyle="1" w:styleId="ZLITARTzmartliter">
    <w:name w:val="Z_LIT/ART(§) – zm. art. (§) literą"/>
    <w:basedOn w:val="ZLITUSTzmustliter"/>
    <w:uiPriority w:val="46"/>
    <w:qFormat/>
    <w:rPr>
      <w:rFonts w:ascii="Times New Roman" w:hAnsi="Times New Roman"/>
    </w:rPr>
  </w:style>
  <w:style w:type="paragraph" w:customStyle="1" w:styleId="ZTIRARTzmarttiret">
    <w:name w:val="Z_TIR/ART(§) – zm. art. (§) tiret"/>
    <w:basedOn w:val="ZTIRPKTzmpkttiret"/>
    <w:uiPriority w:val="55"/>
    <w:qFormat/>
    <w:pPr>
      <w:ind w:left="1383" w:firstLine="510"/>
    </w:pPr>
    <w:rPr>
      <w:rFonts w:ascii="Times New Roman" w:hAnsi="Times New Roman"/>
    </w:rPr>
  </w:style>
  <w:style w:type="paragraph" w:customStyle="1" w:styleId="ZTIRUSTzmusttiret">
    <w:name w:val="Z_TIR/UST(§) – zm. ust. (§) tiret"/>
    <w:basedOn w:val="ZTIRARTzmarttiret"/>
    <w:uiPriority w:val="55"/>
    <w:qFormat/>
  </w:style>
  <w:style w:type="paragraph" w:customStyle="1" w:styleId="ZLITKSIGIzmozniprzedmksigiliter">
    <w:name w:val="Z_LIT/KSIĘGI – zm. ozn. i przedm. księgi literą"/>
    <w:basedOn w:val="ZCZCIKSIGIzmozniprzedmczciksigiartykuempunktem"/>
    <w:uiPriority w:val="44"/>
    <w:qFormat/>
    <w:pPr>
      <w:ind w:left="987"/>
    </w:pPr>
  </w:style>
  <w:style w:type="paragraph" w:customStyle="1" w:styleId="ZLITTYTDZOZNzmozntytuudziauliter">
    <w:name w:val="Z_LIT/TYT(DZ)_OZN – zm. ozn. tytułu (działu) literą"/>
    <w:basedOn w:val="ZTYTDZOZNzmozntytuudziauartykuempunktem"/>
    <w:uiPriority w:val="44"/>
    <w:qFormat/>
    <w:pPr>
      <w:ind w:left="987"/>
    </w:pPr>
  </w:style>
  <w:style w:type="paragraph" w:customStyle="1" w:styleId="ZLITTYTDZPRZEDMzmprzedmtytuudziauliter">
    <w:name w:val="Z_LIT/TYT(DZ)_PRZEDM – zm. przedm. tytułu (działu) literą"/>
    <w:basedOn w:val="ZTYTDZPRZEDMzmprzedmtytuulubdziauartykuempunktem"/>
    <w:uiPriority w:val="44"/>
    <w:qFormat/>
    <w:pPr>
      <w:ind w:left="987"/>
    </w:pPr>
  </w:style>
  <w:style w:type="paragraph" w:customStyle="1" w:styleId="ZLITROZDZODDZOZNzmoznrozdzoddzliter">
    <w:name w:val="Z_LIT/ROZDZ(ODDZ)_OZN – zm. ozn. rozdz. (oddz.) literą"/>
    <w:basedOn w:val="ZROZDZODDZOZNzmoznrozdzoddzartykuempunktem"/>
    <w:uiPriority w:val="45"/>
    <w:qFormat/>
    <w:pPr>
      <w:ind w:left="987"/>
    </w:pPr>
  </w:style>
  <w:style w:type="paragraph" w:customStyle="1" w:styleId="ZLITROZDZODDZPRZEDMzmprzedmrozdzoddzliter">
    <w:name w:val="Z_LIT/ROZDZ(ODDZ)_PRZEDM – zm. przedm. rozdz. (oddz.) literą"/>
    <w:basedOn w:val="ZROZDZODDZPRZEDMzmprzedmrozdzoddzartykuempunktem"/>
    <w:uiPriority w:val="45"/>
    <w:qFormat/>
    <w:pPr>
      <w:ind w:left="987"/>
    </w:pPr>
  </w:style>
  <w:style w:type="paragraph" w:customStyle="1" w:styleId="ZTIRDZOZNzmozndziautiret">
    <w:name w:val="Z_TIR/DZ_OZN – zm. ozn. działu tiret"/>
    <w:basedOn w:val="ZLITTYTDZOZNzmozntytuudziauliter"/>
    <w:uiPriority w:val="54"/>
    <w:qFormat/>
    <w:pPr>
      <w:ind w:left="1383"/>
    </w:pPr>
  </w:style>
  <w:style w:type="paragraph" w:customStyle="1" w:styleId="ZTIRDZPRZEDMzmprzedmdziautiret">
    <w:name w:val="Z_TIR/DZ_PRZEDM – zm. przedm. działu tiret"/>
    <w:basedOn w:val="ZLITTYTDZPRZEDMzmprzedmtytuudziauliter"/>
    <w:uiPriority w:val="54"/>
    <w:qFormat/>
    <w:pPr>
      <w:ind w:left="1383"/>
    </w:pPr>
  </w:style>
  <w:style w:type="paragraph" w:customStyle="1" w:styleId="ZTIRROZDZODDZOZNzmoznrozdzoddztiret">
    <w:name w:val="Z_TIR/ROZDZ(ODDZ)_OZN – zm. ozn. rozdz. (oddz.) tiret"/>
    <w:basedOn w:val="ZLITROZDZODDZOZNzmoznrozdzoddzliter"/>
    <w:uiPriority w:val="54"/>
    <w:qFormat/>
    <w:pPr>
      <w:ind w:left="1383"/>
    </w:pPr>
  </w:style>
  <w:style w:type="paragraph" w:customStyle="1" w:styleId="ZTIRROZDZODDZPRZEDMzmprzedmrozdzoddztiret">
    <w:name w:val="Z_TIR/ROZDZ(ODDZ)_PRZEDM – zm. przedm. rozdz. (oddz.) tiret"/>
    <w:basedOn w:val="ZLITROZDZODDZPRZEDMzmprzedmrozdzoddzliter"/>
    <w:uiPriority w:val="54"/>
    <w:qFormat/>
    <w:pPr>
      <w:ind w:left="1383"/>
    </w:pPr>
  </w:style>
  <w:style w:type="paragraph" w:customStyle="1" w:styleId="Z2TIRROZDZODDZOZNzmoznrozdzoddzpodwjnymtiret">
    <w:name w:val="Z_2TIR/ROZDZ(ODDZ)_OZN – zm. ozn. rozdz. (oddz.) podwójnym tiret"/>
    <w:basedOn w:val="ZTIRROZDZODDZOZNzmoznrozdzoddztiret"/>
    <w:uiPriority w:val="81"/>
    <w:qFormat/>
    <w:pPr>
      <w:ind w:left="1780"/>
    </w:pPr>
  </w:style>
  <w:style w:type="paragraph" w:customStyle="1" w:styleId="Z2TIRROZDZODDZPRZEDMzmprzedmrozdzoddzpodwjnymtiret">
    <w:name w:val="Z_2TIR/ROZDZ(ODDZ)_PRZEDM – zm. przedm. rozdz. (oddz.) podwójnym tiret"/>
    <w:basedOn w:val="ZTIRROZDZODDZPRZEDMzmprzedmrozdzoddztiret"/>
    <w:uiPriority w:val="81"/>
    <w:qFormat/>
    <w:pPr>
      <w:ind w:left="1780"/>
    </w:pPr>
  </w:style>
  <w:style w:type="paragraph" w:customStyle="1" w:styleId="ODNONIKSPECtreodnonikadoodnonika">
    <w:name w:val="ODNOŚNIK_SPEC – treść odnośnika do odnośnika"/>
    <w:basedOn w:val="Normalny"/>
    <w:uiPriority w:val="19"/>
    <w:qFormat/>
    <w:pPr>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pPr>
      <w:spacing w:line="360" w:lineRule="auto"/>
      <w:ind w:firstLine="510"/>
    </w:pPr>
    <w:rPr>
      <w:rFonts w:ascii="Times" w:eastAsiaTheme="minorEastAsia" w:hAnsi="Times" w:cs="Arial"/>
      <w:bCs/>
      <w:szCs w:val="20"/>
      <w:lang w:eastAsia="pl-PL"/>
    </w:rPr>
  </w:style>
  <w:style w:type="paragraph" w:customStyle="1" w:styleId="TEKSTwTABELIWYRODKOWANYtekstwyrodkowanywpoziomie">
    <w:name w:val="TEKST_w_TABELI_WYŚRODKOWANY – tekst wyśrodkowany w poziomie"/>
    <w:basedOn w:val="Normalny"/>
    <w:uiPriority w:val="23"/>
    <w:qFormat/>
    <w:pPr>
      <w:spacing w:line="360" w:lineRule="auto"/>
      <w:jc w:val="center"/>
    </w:pPr>
    <w:rPr>
      <w:rFonts w:ascii="Times" w:eastAsiaTheme="minorEastAsia" w:hAnsi="Times" w:cs="Arial"/>
      <w:bCs/>
      <w:szCs w:val="20"/>
      <w:lang w:eastAsia="pl-PL"/>
    </w:rPr>
  </w:style>
  <w:style w:type="paragraph" w:customStyle="1" w:styleId="ZTIRSKARNzmsankcjikarnejtiret">
    <w:name w:val="Z_TIR/S_KARN – zm. sankcji karnej tiret"/>
    <w:basedOn w:val="ZLITSKARNzmsankcjikarnejliter"/>
    <w:uiPriority w:val="61"/>
    <w:qFormat/>
    <w:pPr>
      <w:ind w:left="1894"/>
    </w:pPr>
  </w:style>
  <w:style w:type="paragraph" w:customStyle="1" w:styleId="ZZSKARNzmianazmsankcjikarnej">
    <w:name w:val="ZZ/S_KARN – zmiana zm. sankcji karnej"/>
    <w:basedOn w:val="ZZFRAGzmianazmfragmentunpzdania"/>
    <w:uiPriority w:val="71"/>
    <w:qFormat/>
    <w:pPr>
      <w:ind w:left="2404"/>
    </w:pPr>
  </w:style>
  <w:style w:type="paragraph" w:customStyle="1" w:styleId="Z2TIRSKARNzmianasankcjikarnejpodwjnymtiret">
    <w:name w:val="Z_2TIR/S_KARN – zmiana sankcji karnej podwójnym tiret"/>
    <w:basedOn w:val="Z2TIRARTzmartpodwjnymtiret"/>
    <w:uiPriority w:val="90"/>
    <w:qFormat/>
    <w:pPr>
      <w:ind w:left="2291" w:firstLine="0"/>
    </w:pPr>
  </w:style>
  <w:style w:type="paragraph" w:customStyle="1" w:styleId="WMATFIZCHEMwzrmatfizlubchem">
    <w:name w:val="W_MAT(FIZ|CHEM) – wzór mat. (fiz. lub chem.)"/>
    <w:uiPriority w:val="18"/>
    <w:qFormat/>
    <w:pPr>
      <w:jc w:val="center"/>
    </w:pPr>
    <w:rPr>
      <w:rFonts w:ascii="Times New Roman" w:eastAsiaTheme="minorEastAsia" w:hAnsi="Times New Roman" w:cs="Arial"/>
      <w:szCs w:val="20"/>
      <w:lang w:eastAsia="pl-PL"/>
    </w:rPr>
  </w:style>
  <w:style w:type="paragraph" w:customStyle="1" w:styleId="LEGWMATFIZCHEMlegendawzorumatfizlubchem">
    <w:name w:val="LEG_W_MAT(FIZ|CHEM) – legenda wzoru mat. (fiz. lub chem.)"/>
    <w:basedOn w:val="WMATFIZCHEMwzrmatfizlubchem"/>
    <w:uiPriority w:val="19"/>
    <w:qFormat/>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pPr>
      <w:ind w:left="2291"/>
    </w:pPr>
  </w:style>
  <w:style w:type="paragraph" w:customStyle="1" w:styleId="ZLITWMATFIZCHEMzmwzorumatfizlubchemliter">
    <w:name w:val="Z_LIT/W_MAT(FIZ|CHEM) – zm. wzoru mat. (fiz. lub chem.) literą"/>
    <w:basedOn w:val="ZWMATFIZCHEMzmwzorumatfizlubchemartykuempunktem"/>
    <w:uiPriority w:val="53"/>
    <w:qFormat/>
    <w:pPr>
      <w:ind w:left="987"/>
    </w:pPr>
  </w:style>
  <w:style w:type="paragraph" w:customStyle="1" w:styleId="ZTIRWMATFIZCHEMzmwzorumatfizlubchemtiret">
    <w:name w:val="Z_TIR/W_MAT(FIZ|CHEM) – zm. wzoru mat. (fiz. lub chem.) tiret"/>
    <w:basedOn w:val="ZLITWMATFIZCHEMzmwzorumatfizlubchemliter"/>
    <w:uiPriority w:val="62"/>
    <w:qFormat/>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pPr>
      <w:ind w:left="2688"/>
    </w:pPr>
  </w:style>
  <w:style w:type="paragraph" w:customStyle="1" w:styleId="Z2TIRWMATFIZCHEMzmwzorumatfizlubchempodwjnymtiret">
    <w:name w:val="Z_2TIR/W_MAT(FIZ|CHEM) – zm. wzoru mat. (fiz. lub chem.) podwójnym tiret"/>
    <w:basedOn w:val="ZTIRWMATFIZCHEMzmwzorumatfizlubchemtiret"/>
    <w:uiPriority w:val="91"/>
    <w:qFormat/>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pPr>
      <w:ind w:left="3085"/>
    </w:pPr>
  </w:style>
  <w:style w:type="paragraph" w:customStyle="1" w:styleId="ZLITCYTzmcytatunpprzysigiliter">
    <w:name w:val="Z_LIT/CYT – zm. cytatu np. przysięgi literą"/>
    <w:basedOn w:val="ZCYTzmcytatunpprzysigiartykuempunktem"/>
    <w:uiPriority w:val="53"/>
    <w:qFormat/>
    <w:pPr>
      <w:ind w:left="1497"/>
    </w:pPr>
  </w:style>
  <w:style w:type="paragraph" w:customStyle="1" w:styleId="ZTIRCYTzmcytatunpprzysigitiret">
    <w:name w:val="Z_TIR/CYT – zm. cytatu np. przysięgi tiret"/>
    <w:basedOn w:val="ZLITCYTzmcytatunpprzysigiliter"/>
    <w:uiPriority w:val="61"/>
    <w:qFormat/>
    <w:pPr>
      <w:ind w:left="1894"/>
    </w:pPr>
  </w:style>
  <w:style w:type="paragraph" w:customStyle="1" w:styleId="Z2TIRCYTzmcytatunpprzysigipodwjnymtiret">
    <w:name w:val="Z_2TIR/CYT – zm. cytatu np. przysięgi podwójnym tiret"/>
    <w:basedOn w:val="ZTIRCYTzmcytatunpprzysigitiret"/>
    <w:uiPriority w:val="90"/>
    <w:qFormat/>
    <w:pPr>
      <w:ind w:left="2291"/>
    </w:pPr>
  </w:style>
  <w:style w:type="paragraph" w:customStyle="1" w:styleId="ZZCYTzmianazmcytatunpprzysigi">
    <w:name w:val="ZZ/CYT – zmiana zm. cytatu np. przysięgi"/>
    <w:basedOn w:val="ZZFRAGzmianazmfragmentunpzdania"/>
    <w:uiPriority w:val="71"/>
    <w:qFormat/>
    <w:pPr>
      <w:ind w:left="2404"/>
    </w:pPr>
  </w:style>
  <w:style w:type="paragraph" w:customStyle="1" w:styleId="Z2TIRFRAGMzmnpwprdowyliczeniapodwjnymtiret">
    <w:name w:val="Z_2TIR/FRAGM – zm. np. wpr. do wyliczenia podwójnym tiret"/>
    <w:basedOn w:val="ZTIRFRAGMzmnpwprdowyliczeniatiret"/>
    <w:uiPriority w:val="89"/>
    <w:qFormat/>
    <w:pPr>
      <w:ind w:left="1780"/>
    </w:pPr>
  </w:style>
  <w:style w:type="paragraph" w:styleId="Tekstprzypisukocowego">
    <w:name w:val="endnote text"/>
    <w:basedOn w:val="Normalny"/>
    <w:link w:val="TekstprzypisukocowegoZnak"/>
    <w:uiPriority w:val="99"/>
    <w:semiHidden/>
    <w:unhideWhenUsed/>
    <w:pPr>
      <w:widowControl w:val="0"/>
    </w:pPr>
    <w:rPr>
      <w:rFonts w:ascii="Times New Roman" w:eastAsia="MS Mincho" w:hAnsi="Times New Roman" w:cs="Arial"/>
      <w:sz w:val="20"/>
      <w:szCs w:val="20"/>
      <w:lang w:eastAsia="zh-CN"/>
    </w:rPr>
  </w:style>
  <w:style w:type="character" w:customStyle="1" w:styleId="TekstprzypisukocowegoZnak1">
    <w:name w:val="Tekst przypisu końcowego Znak1"/>
    <w:basedOn w:val="Domylnaczcionkaakapitu"/>
    <w:uiPriority w:val="99"/>
    <w:semiHidden/>
    <w:rPr>
      <w:sz w:val="20"/>
      <w:szCs w:val="20"/>
    </w:rPr>
  </w:style>
  <w:style w:type="table" w:styleId="Tabela-Siatka">
    <w:name w:val="Table Grid"/>
    <w:basedOn w:val="Standardowy"/>
    <w:rPr>
      <w:rFonts w:ascii="Times" w:eastAsia="Times New Roman" w:hAnsi="Times" w:cs="Times New Roman"/>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a-Elegancki">
    <w:name w:val="Table Elegant"/>
    <w:basedOn w:val="Standardowy"/>
    <w:pPr>
      <w:jc w:val="both"/>
    </w:pPr>
    <w:rPr>
      <w:rFonts w:ascii="Times" w:eastAsia="Times New Roman" w:hAnsi="Times" w:cs="Times New Roman"/>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TABELA2zszablonu">
    <w:name w:val="TABELA 2 z szablonu"/>
    <w:basedOn w:val="Tabela-Elegancki"/>
    <w:uiPriority w:val="99"/>
    <w:pPr>
      <w:jc w:val="left"/>
    </w:pPr>
    <w:tblPr>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Pr>
    <w:tblStylePr w:type="firstRow">
      <w:rPr>
        <w:caps/>
        <w:color w:val="auto"/>
      </w:rPr>
      <w:tblPr/>
      <w:tcPr>
        <w:tcBorders>
          <w:top w:val="single" w:sz="12" w:space="0" w:color="000000"/>
          <w:left w:val="single" w:sz="12" w:space="0" w:color="000000"/>
          <w:bottom w:val="single" w:sz="12" w:space="0" w:color="000000"/>
          <w:right w:val="single" w:sz="12" w:space="0" w:color="000000"/>
        </w:tcBorders>
        <w:shd w:val="clear" w:color="auto" w:fill="auto"/>
      </w:tcPr>
    </w:tblStylePr>
  </w:style>
  <w:style w:type="table" w:customStyle="1" w:styleId="TABELA1zszablonu">
    <w:name w:val="TABELA 1 z szablonu"/>
    <w:basedOn w:val="Tabela-Siatka"/>
    <w:uiPriority w:val="99"/>
    <w:tblP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Pr>
  </w:style>
  <w:style w:type="table" w:customStyle="1" w:styleId="TABELA3zszablonu">
    <w:name w:val="TABELA 3 z szablonu"/>
    <w:basedOn w:val="TABELA2zszablonu"/>
    <w:uiPriority w:val="99"/>
    <w:tblPr/>
    <w:tblStylePr w:type="firstRow">
      <w:rPr>
        <w:caps/>
        <w:color w:val="auto"/>
      </w:rPr>
      <w:tblPr/>
      <w:tcPr>
        <w:tcBorders>
          <w:top w:val="single" w:sz="12" w:space="0" w:color="000000"/>
          <w:left w:val="single" w:sz="12" w:space="0" w:color="000000"/>
          <w:bottom w:val="single" w:sz="12" w:space="0" w:color="000000"/>
          <w:right w:val="single" w:sz="12" w:space="0" w:color="000000"/>
        </w:tcBorders>
        <w:shd w:val="clear" w:color="auto" w:fill="auto"/>
      </w:tcPr>
    </w:tblStylePr>
    <w:tblStylePr w:type="firstCol">
      <w:tblPr/>
      <w:tcPr>
        <w:tcBorders>
          <w:top w:val="single" w:sz="12" w:space="0" w:color="000000"/>
          <w:left w:val="single" w:sz="12" w:space="0" w:color="000000"/>
          <w:bottom w:val="single" w:sz="12" w:space="0" w:color="000000"/>
          <w:right w:val="single" w:sz="12" w:space="0" w:color="000000"/>
        </w:tcBorders>
        <w:shd w:val="clear" w:color="auto" w:fill="auto"/>
      </w:tcPr>
    </w:tblStylePr>
    <w:tblStylePr w:type="nwCell">
      <w:tblPr/>
      <w:tcPr>
        <w:tcBorders>
          <w:top w:val="single" w:sz="12" w:space="0" w:color="000000"/>
          <w:left w:val="single" w:sz="12" w:space="0" w:color="000000"/>
          <w:bottom w:val="single" w:sz="12" w:space="0" w:color="000000"/>
          <w:right w:val="single" w:sz="12" w:space="0" w:color="000000"/>
        </w:tcBorders>
        <w:shd w:val="clear" w:color="auto" w:fill="auto"/>
      </w:tcPr>
    </w:tblStylePr>
  </w:style>
  <w:style w:type="paragraph" w:customStyle="1" w:styleId="text-justify">
    <w:name w:val="text-justify"/>
    <w:basedOn w:val="Normalny"/>
    <w:pPr>
      <w:spacing w:before="100" w:beforeAutospacing="1" w:after="100" w:afterAutospacing="1"/>
    </w:pPr>
    <w:rPr>
      <w:rFonts w:ascii="Times New Roman" w:eastAsia="Times New Roman" w:hAnsi="Times New Roman" w:cs="Times New Roman"/>
      <w:lang w:eastAsia="pl-PL"/>
    </w:rPr>
  </w:style>
  <w:style w:type="character" w:customStyle="1" w:styleId="alb">
    <w:name w:val="a_lb"/>
    <w:basedOn w:val="Domylnaczcionkaakapitu"/>
  </w:style>
  <w:style w:type="character" w:customStyle="1" w:styleId="text-justify1">
    <w:name w:val="text-justify1"/>
    <w:basedOn w:val="Domylnaczcionkaakapitu"/>
  </w:style>
  <w:style w:type="paragraph" w:styleId="Akapitzlist">
    <w:name w:val="List Paragraph"/>
    <w:basedOn w:val="Normalny"/>
    <w:uiPriority w:val="99"/>
    <w:qFormat/>
    <w:pPr>
      <w:ind w:left="720"/>
      <w:contextualSpacing/>
    </w:pPr>
    <w:rPr>
      <w:rFonts w:eastAsiaTheme="minorEastAsia"/>
      <w:lang w:eastAsia="pl-PL"/>
    </w:rPr>
  </w:style>
  <w:style w:type="character" w:styleId="Hipercze">
    <w:name w:val="Hyperlink"/>
    <w:basedOn w:val="Domylnaczcionkaakapitu"/>
    <w:uiPriority w:val="99"/>
    <w:unhideWhenUsed/>
    <w:rPr>
      <w:color w:val="0563C1" w:themeColor="hyperlink"/>
      <w:u w:val="single"/>
    </w:rPr>
  </w:style>
  <w:style w:type="character" w:styleId="Odwoanieprzypisudolnego">
    <w:name w:val="footnote reference"/>
    <w:basedOn w:val="Domylnaczcionkaakapitu"/>
    <w:uiPriority w:val="99"/>
    <w:semiHidden/>
    <w:unhideWhenUsed/>
    <w:rPr>
      <w:vertAlign w:val="superscript"/>
    </w:rPr>
  </w:style>
  <w:style w:type="character" w:styleId="Odwoanieprzypisukocowego">
    <w:name w:val="endnote reference"/>
    <w:basedOn w:val="Domylnaczcionkaakapitu"/>
    <w:uiPriority w:val="99"/>
    <w:semiHidden/>
    <w:unhideWhenUsed/>
    <w:rPr>
      <w:vertAlign w:val="superscript"/>
    </w:rPr>
  </w:style>
  <w:style w:type="paragraph" w:styleId="Poprawka">
    <w:name w:val="Revision"/>
    <w:hidden/>
    <w:uiPriority w:val="99"/>
    <w:semiHidden/>
  </w:style>
  <w:style w:type="character" w:customStyle="1" w:styleId="Nierozpoznanawzmianka1">
    <w:name w:val="Nierozpoznana wzmianka1"/>
    <w:basedOn w:val="Domylnaczcionkaakapitu"/>
    <w:uiPriority w:val="99"/>
    <w:semiHidden/>
    <w:unhideWhenUsed/>
    <w:rPr>
      <w:color w:val="605E5C"/>
      <w:shd w:val="clear" w:color="auto" w:fill="E1DFDD"/>
    </w:rPr>
  </w:style>
  <w:style w:type="character" w:customStyle="1" w:styleId="Nagwek3Znak">
    <w:name w:val="Nagłówek 3 Znak"/>
    <w:basedOn w:val="Domylnaczcionkaakapitu"/>
    <w:link w:val="Nagwek3"/>
    <w:uiPriority w:val="9"/>
    <w:semiHidden/>
    <w:rPr>
      <w:rFonts w:asciiTheme="majorHAnsi" w:eastAsiaTheme="majorEastAsia" w:hAnsiTheme="majorHAnsi" w:cstheme="majorBidi"/>
      <w:color w:val="1F3763" w:themeColor="accent1" w:themeShade="7F"/>
    </w:rPr>
  </w:style>
  <w:style w:type="character" w:customStyle="1" w:styleId="Nagwek4Znak">
    <w:name w:val="Nagłówek 4 Znak"/>
    <w:basedOn w:val="Domylnaczcionkaakapitu"/>
    <w:link w:val="Nagwek4"/>
    <w:uiPriority w:val="9"/>
    <w:semiHidden/>
    <w:rPr>
      <w:rFonts w:asciiTheme="majorHAnsi" w:eastAsiaTheme="majorEastAsia" w:hAnsiTheme="majorHAnsi" w:cstheme="majorBidi"/>
      <w:i/>
      <w:iCs/>
      <w:color w:val="2F5496" w:themeColor="accent1" w:themeShade="BF"/>
    </w:rPr>
  </w:style>
  <w:style w:type="character" w:customStyle="1" w:styleId="Nagwek2Znak">
    <w:name w:val="Nagłówek 2 Znak"/>
    <w:basedOn w:val="Domylnaczcionkaakapitu"/>
    <w:link w:val="Nagwek2"/>
    <w:uiPriority w:val="9"/>
    <w:semiHidden/>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3344">
      <w:bodyDiv w:val="1"/>
      <w:marLeft w:val="0"/>
      <w:marRight w:val="0"/>
      <w:marTop w:val="0"/>
      <w:marBottom w:val="0"/>
      <w:divBdr>
        <w:top w:val="none" w:sz="0" w:space="0" w:color="auto"/>
        <w:left w:val="none" w:sz="0" w:space="0" w:color="auto"/>
        <w:bottom w:val="none" w:sz="0" w:space="0" w:color="auto"/>
        <w:right w:val="none" w:sz="0" w:space="0" w:color="auto"/>
      </w:divBdr>
    </w:div>
    <w:div w:id="2020082634">
      <w:bodyDiv w:val="1"/>
      <w:marLeft w:val="0"/>
      <w:marRight w:val="0"/>
      <w:marTop w:val="0"/>
      <w:marBottom w:val="0"/>
      <w:divBdr>
        <w:top w:val="none" w:sz="0" w:space="0" w:color="auto"/>
        <w:left w:val="none" w:sz="0" w:space="0" w:color="auto"/>
        <w:bottom w:val="none" w:sz="0" w:space="0" w:color="auto"/>
        <w:right w:val="none" w:sz="0" w:space="0" w:color="auto"/>
      </w:divBdr>
    </w:div>
    <w:div w:id="210306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kwiatkowska\Downloads\20%2010%2025%20uwagi%20DL%20-%20uzasadnienie%20ustawy%20o%20fin.%20wspieraniu%20produkcji%20audiowizualnej.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Arial"/>
        <a:cs typeface="Arial"/>
      </a:majorFont>
      <a:minorFont>
        <a:latin typeface="Calibri"/>
        <a:ea typeface="Arial"/>
        <a:cs typeface="Arial"/>
      </a:minorFont>
    </a:fontScheme>
    <a:fmtScheme name="Pakiet 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412F7-1896-4B62-880F-0C644807A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 10 25 uwagi DL - uzasadnienie ustawy o fin. wspieraniu produkcji audiowizualnej.dotx</Template>
  <TotalTime>1</TotalTime>
  <Pages>19</Pages>
  <Words>6340</Words>
  <Characters>38046</Characters>
  <Application>Microsoft Office Word</Application>
  <DocSecurity>0</DocSecurity>
  <Lines>317</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Kwiatkowska-Serafin</dc:creator>
  <cp:keywords/>
  <dc:description/>
  <cp:lastModifiedBy>Wójcik Aleksandra</cp:lastModifiedBy>
  <cp:revision>3</cp:revision>
  <dcterms:created xsi:type="dcterms:W3CDTF">2026-07-29T09:09:00Z</dcterms:created>
  <dcterms:modified xsi:type="dcterms:W3CDTF">2026-07-29T09:22:00Z</dcterms:modified>
</cp:coreProperties>
</file>