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CF021" w14:textId="77777777" w:rsidR="00382249" w:rsidRPr="00136304" w:rsidRDefault="00382249" w:rsidP="00136304">
      <w:pPr>
        <w:spacing w:before="120" w:line="360" w:lineRule="auto"/>
        <w:jc w:val="center"/>
      </w:pPr>
      <w:r w:rsidRPr="00136304">
        <w:t>UZASADNIENIE</w:t>
      </w:r>
    </w:p>
    <w:p w14:paraId="0854FED4" w14:textId="77777777" w:rsidR="009436D9" w:rsidRPr="009E327C" w:rsidRDefault="00382249" w:rsidP="00136304">
      <w:pPr>
        <w:spacing w:before="120" w:line="360" w:lineRule="auto"/>
        <w:jc w:val="both"/>
        <w:rPr>
          <w:b/>
          <w:bCs/>
        </w:rPr>
      </w:pPr>
      <w:r w:rsidRPr="009E327C">
        <w:rPr>
          <w:b/>
          <w:bCs/>
        </w:rPr>
        <w:t>I. Cel regulacji</w:t>
      </w:r>
    </w:p>
    <w:p w14:paraId="3FC0C084" w14:textId="77777777" w:rsidR="00382249" w:rsidRPr="009E327C" w:rsidRDefault="00382249" w:rsidP="00136304">
      <w:pPr>
        <w:spacing w:before="120" w:line="360" w:lineRule="auto"/>
        <w:ind w:firstLine="567"/>
        <w:jc w:val="both"/>
      </w:pPr>
      <w:r w:rsidRPr="009E327C">
        <w:t xml:space="preserve">Cel projektowanych przepisów to zwiększenie efektywności postępowań, których przedmiotem jest oddłużenie osób fizycznych prowadzących działalność gospodarczą oraz osób fizycznych nieprowadzących działalności gospodarczej, w </w:t>
      </w:r>
      <w:r w:rsidR="00186028">
        <w:t xml:space="preserve">ich </w:t>
      </w:r>
      <w:r w:rsidRPr="009E327C">
        <w:t xml:space="preserve">ostatniej fazie, tj. na etapie wykonywania planu spłaty wierzycieli. Projekt realizuje postulat poprawy skuteczności postępowań dotyczących umorzenia długów, zawarty w </w:t>
      </w:r>
      <w:r w:rsidR="00186028">
        <w:t>d</w:t>
      </w:r>
      <w:r w:rsidRPr="009E327C">
        <w:t>yrektywie Parlamentu Europejskiego i Rady (UE) 2019/1023 z dnia 20 czerwca 2019 r. w sprawie ram restrukturyzacji zapobiegawczej, umorzenia długów i zakazów prowadzenia działalności oraz w sprawie środków zwiększających skuteczność postępowań dotyczących restrukturyzacji, niewypłacalności i umorzenia długów, a także zmieniającej dyrektywę (UE) 2017/1132 (dyrektywa o restrukturyzacji i upadłości), zwanej dalej „dyrektywą 2019/1023”. Zgodnie z</w:t>
      </w:r>
      <w:r w:rsidR="00CD269F" w:rsidRPr="009E327C">
        <w:t> </w:t>
      </w:r>
      <w:r w:rsidRPr="009E327C">
        <w:t>dyrektywą 2019/1023 postępowania dotyczące umorzenia długów mogą dotyczyć zarówno osób fizycznych prowadzących działalność gospodarczą, jak i osób fizycznych nieprowadzących działalności gospodarczej (tzw. upadłość konsumencka). Wynika to z</w:t>
      </w:r>
      <w:r w:rsidR="00CD269F" w:rsidRPr="009E327C">
        <w:t> </w:t>
      </w:r>
      <w:r w:rsidRPr="009E327C">
        <w:t xml:space="preserve">motywu 21 preambuły dyrektywy 2019/1023 oraz art. 1 ust. 4 zd. 1 tej dyrektywy. Polskie prawo upadłościowe </w:t>
      </w:r>
      <w:r w:rsidRPr="009E327C">
        <w:rPr>
          <w:i/>
          <w:iCs/>
        </w:rPr>
        <w:t>de lege lata</w:t>
      </w:r>
      <w:r w:rsidRPr="009E327C">
        <w:t xml:space="preserve"> niemal jednolicie reguluje zasady oddłużenia obu kategorii osób fizycznych. Projektowane przepisy tej zasady nie naruszają i odnoszą się w takim samym stopniu do postępowania upadłościowego osób fizycznych prowadzących działalność gospodarczą, jak i osób fizycznych nieprowadzących takiej działalności. </w:t>
      </w:r>
    </w:p>
    <w:p w14:paraId="60A655F4" w14:textId="77777777" w:rsidR="00382249" w:rsidRPr="009E327C" w:rsidRDefault="00382249" w:rsidP="00136304">
      <w:pPr>
        <w:spacing w:before="120" w:line="360" w:lineRule="auto"/>
        <w:ind w:firstLine="567"/>
        <w:jc w:val="both"/>
      </w:pPr>
      <w:r w:rsidRPr="009E327C">
        <w:t xml:space="preserve">Na gruncie obecnie obowiązujących przepisów sąd z urzędu sprawuje nadzór nad wykonywaniem przez upadłego planu spłaty wierzycieli. Jeżeli sąd poczyni ustalenia, że plan nie jest wykonywany lub jest wykonywany, ale zachodzą inne negatywne okoliczności dotyczące zachowań upadłego, sąd powinien wydać postanowienie o uchyleniu planu spłaty wierzycieli. Regulację tę należy ocenić negatywnie na kilku płaszczyznach. </w:t>
      </w:r>
    </w:p>
    <w:p w14:paraId="683C4ED9" w14:textId="77777777" w:rsidR="00382249" w:rsidRPr="009E327C" w:rsidRDefault="00382249" w:rsidP="00136304">
      <w:pPr>
        <w:spacing w:before="120" w:line="360" w:lineRule="auto"/>
        <w:ind w:firstLine="567"/>
        <w:jc w:val="both"/>
      </w:pPr>
      <w:r w:rsidRPr="009E327C">
        <w:t>Po pierwsze plan spłaty wierzycieli realizuje przede wszystkim prywatny interes majątkowy wierzycieli, tj. zmierza do zaspokojenia przysługujących im roszczeń, wcześniej ustalonych co do zasady i wysokości przez sąd upadłościowy. Pierwiastek publiczny rozumiany jako interes ogólnospołeczny na tym etapie postępowania nie pełni funkcji wiodącej. W</w:t>
      </w:r>
      <w:r w:rsidR="00CD269F" w:rsidRPr="009E327C">
        <w:t> </w:t>
      </w:r>
      <w:r w:rsidRPr="009E327C">
        <w:t xml:space="preserve">związku z tym nadzór państwa nad prawidłowością wykonywania planu spłaty wierzycieli powinien mieć miejsce tylko wtedy, gdy żądają tego interesariusze. To właśnie wierzyciele mają najlepszą wiedzę na temat tego, czy przysługujące im roszczenia są spłacane przez </w:t>
      </w:r>
      <w:r w:rsidRPr="009E327C">
        <w:lastRenderedPageBreak/>
        <w:t>dłużnika czy też zaprzestano realizacji planu spłaty wierzycieli. Rolą sądu cywilnego nie jest sprawowanie z urzędu „opieki” nad wierzycielami w zakresie prawidłowej realizacji obowiązków płatniczych ciążących na ich dłużnikach. Rolą regulatora jest z kolei zapewnienie wierzycielom efektywnych narzędzi pozwalających na dorowadzenie do uchylenia lub zmiany planu spłaty wierzycieli, jeśli zaszły ku temu przesłanki, a osoby uprawnione wnoszą o</w:t>
      </w:r>
      <w:r w:rsidR="00CD269F" w:rsidRPr="009E327C">
        <w:t> </w:t>
      </w:r>
      <w:r w:rsidRPr="009E327C">
        <w:t>udzielenie ochrony prawnej swym interesom majątkowym.</w:t>
      </w:r>
    </w:p>
    <w:p w14:paraId="6CA9D989" w14:textId="77777777" w:rsidR="00382249" w:rsidRPr="009E327C" w:rsidRDefault="00382249" w:rsidP="00136304">
      <w:pPr>
        <w:spacing w:before="120" w:line="360" w:lineRule="auto"/>
        <w:ind w:firstLine="567"/>
        <w:jc w:val="both"/>
      </w:pPr>
      <w:r w:rsidRPr="009E327C">
        <w:t>Po drugie w obecnym stanie prawnym bieżące sprawowanie nadzoru nad wykonywaniem planu spłaty wierzycieli dokonywane jest przez sąd. Tymczasem wykonywanie nadzoru w istocie nie stanowi sprawowania wymiaru sprawiedliwości. Ponadto w praktyce są to czynności czasochłonne, polegające na weryfikowaniu treści potwierdzeń przelewów lub innych dowodów zapłaty pod kątem prawidłowości i</w:t>
      </w:r>
      <w:r w:rsidR="00BF2F3D" w:rsidRPr="009E327C">
        <w:t> </w:t>
      </w:r>
      <w:r w:rsidRPr="009E327C">
        <w:t>terminowości dokonywanych przez upadłego spłat. Jest to więc zbędne angażowanie sędziów do wykonywania czynności nieorzeczniczych, co przekłada się na przewlekłość w</w:t>
      </w:r>
      <w:r w:rsidR="00BF2F3D" w:rsidRPr="009E327C">
        <w:t> </w:t>
      </w:r>
      <w:r w:rsidRPr="009E327C">
        <w:t>innych sprawach restrukturyzacyjnych i upadłościowych. Zniesienie nadzoru sądu z urzędu może więc pozytywnie wpłynąć na tempo rozpoznawania spraw upadłościowych i</w:t>
      </w:r>
      <w:r w:rsidR="00BF2F3D" w:rsidRPr="009E327C">
        <w:t> </w:t>
      </w:r>
      <w:r w:rsidRPr="009E327C">
        <w:t>restrukturyzacyjnych, a z drugiej strony nie niesie żadnego ryzyka po stronie wierzycieli, z</w:t>
      </w:r>
      <w:r w:rsidR="00BF2F3D" w:rsidRPr="009E327C">
        <w:t> </w:t>
      </w:r>
      <w:r w:rsidRPr="009E327C">
        <w:t xml:space="preserve">uwagi na wyposażenie ich w środki ochrony prawnej, dzięki którym mogą inicjować czynności nadzoru sądowego nad wykonywaniem planu spłaty. </w:t>
      </w:r>
    </w:p>
    <w:p w14:paraId="4B0B3C87" w14:textId="77777777" w:rsidR="00382249" w:rsidRPr="009E327C" w:rsidRDefault="00382249" w:rsidP="00136304">
      <w:pPr>
        <w:spacing w:before="120" w:line="360" w:lineRule="auto"/>
        <w:ind w:firstLine="567"/>
        <w:jc w:val="both"/>
      </w:pPr>
      <w:r w:rsidRPr="009E327C">
        <w:t>Po trzecie w aktualnym stanie prawnym sąd jest zobligowany uchylić plan spłaty, nawet jeśli jest on prawidłowo wykonywany, ale upadły nie złożył sprawozdania rocznego, o</w:t>
      </w:r>
      <w:r w:rsidR="00CD269F" w:rsidRPr="009E327C">
        <w:t> </w:t>
      </w:r>
      <w:r w:rsidRPr="009E327C">
        <w:t>którym mowa w art. 370c ust. 4 lub art. 491</w:t>
      </w:r>
      <w:r w:rsidR="0002483F" w:rsidRPr="009E327C">
        <w:rPr>
          <w:vertAlign w:val="superscript"/>
        </w:rPr>
        <w:t>18</w:t>
      </w:r>
      <w:r w:rsidR="0002483F" w:rsidRPr="009E327C">
        <w:t xml:space="preserve"> </w:t>
      </w:r>
      <w:r w:rsidRPr="009E327C">
        <w:t>18 ust. 3 Prawa upadłościowego</w:t>
      </w:r>
      <w:r w:rsidR="0002483F" w:rsidRPr="009E327C">
        <w:t xml:space="preserve"> (dalej </w:t>
      </w:r>
      <w:r w:rsidR="0002483F" w:rsidRPr="00D86A8F">
        <w:t>P.U.</w:t>
      </w:r>
      <w:r w:rsidR="0002483F" w:rsidRPr="009E327C">
        <w:t>)</w:t>
      </w:r>
      <w:r w:rsidRPr="009E327C">
        <w:t>. Ta regulacja jest nieefektywna, ponieważ z przyczyn często niezawinionych przez dłużnika może dojść do przekreślenia celu oddłużeniowego, o którym mowa w art. 2 ust. 2</w:t>
      </w:r>
      <w:r w:rsidR="00BF2F3D" w:rsidRPr="009E327C">
        <w:t xml:space="preserve"> </w:t>
      </w:r>
      <w:r w:rsidR="0002483F" w:rsidRPr="009E327C">
        <w:t>P.U.</w:t>
      </w:r>
      <w:r w:rsidRPr="009E327C">
        <w:t xml:space="preserve">, nawet jeśli nie chcą tego sami wierzyciele. W praktyce sądowej dostrzeżono, że nieskładanie sprawozdań często jest konsekwencją tego, że dłużnicy, będąc osobami faktycznie wykluczonymi cyfrowo, nie potrafią złożyć sprawozdania przez system teleinformatyczny do obsługi postępowania sądowego. Przyjąć więc należy, że obecnie obowiązująca norma prawna nakazująca sądowi uchylić plan spłaty z powodu okoliczności innych niż nierealizowanie planu spłaty wierzycieli (tj. niezłożenie rocznego sprawozdania) może naruszać zasadę proporcjonalności. </w:t>
      </w:r>
    </w:p>
    <w:p w14:paraId="091DE648" w14:textId="77777777" w:rsidR="00382249" w:rsidRPr="009E327C" w:rsidRDefault="00382249" w:rsidP="00136304">
      <w:pPr>
        <w:spacing w:before="120" w:line="360" w:lineRule="auto"/>
        <w:ind w:firstLine="567"/>
        <w:jc w:val="both"/>
      </w:pPr>
      <w:r w:rsidRPr="009E327C">
        <w:t>W związku z powyższym w celu realizacji zawartego w dyrektywie 2019/1023 postulatu zwiększenia efektywności postępowań (zob. motyw 1 preambuły dyrektywy), których przedmiotem jest oddłużenie osób fizycznych, proponuje się zmianę zasad sprawowania nadzoru nad realizacją planu spłaty wierzycieli poprzez:</w:t>
      </w:r>
    </w:p>
    <w:p w14:paraId="5B180676" w14:textId="77777777" w:rsidR="00382249" w:rsidRPr="009E327C" w:rsidRDefault="00382249" w:rsidP="00136304">
      <w:pPr>
        <w:pStyle w:val="Akapitzlist"/>
        <w:numPr>
          <w:ilvl w:val="0"/>
          <w:numId w:val="1"/>
        </w:numPr>
        <w:spacing w:before="120" w:line="360" w:lineRule="auto"/>
        <w:ind w:left="709" w:hanging="425"/>
        <w:jc w:val="both"/>
      </w:pPr>
      <w:r w:rsidRPr="009E327C">
        <w:lastRenderedPageBreak/>
        <w:t xml:space="preserve">rezygnację ze sprawowania z urzędu przez sąd nadzoru nad wykonywaniem planu spłaty wierzycieli, </w:t>
      </w:r>
    </w:p>
    <w:p w14:paraId="43BCC072" w14:textId="77777777" w:rsidR="00382249" w:rsidRPr="009E327C" w:rsidRDefault="00382249" w:rsidP="00136304">
      <w:pPr>
        <w:pStyle w:val="Akapitzlist"/>
        <w:numPr>
          <w:ilvl w:val="0"/>
          <w:numId w:val="1"/>
        </w:numPr>
        <w:spacing w:before="120" w:line="360" w:lineRule="auto"/>
        <w:ind w:left="709" w:hanging="425"/>
        <w:jc w:val="both"/>
      </w:pPr>
      <w:r w:rsidRPr="009E327C">
        <w:t>zwiększenie transparentności poprzez obowiązkową publikację w Krajowym Rejestrze Zadłużonych obwieszczenia zawierającego informację o dacie, w której ulegają umorzeniu z mocy prawa zobowiązania upadłego w związku z upływem okresu, na który ustalono plan spłaty wierzycieli,</w:t>
      </w:r>
    </w:p>
    <w:p w14:paraId="3B2FBE9D" w14:textId="77777777" w:rsidR="00382249" w:rsidRPr="009E327C" w:rsidRDefault="00382249" w:rsidP="00136304">
      <w:pPr>
        <w:pStyle w:val="Akapitzlist"/>
        <w:numPr>
          <w:ilvl w:val="0"/>
          <w:numId w:val="1"/>
        </w:numPr>
        <w:spacing w:before="120" w:line="360" w:lineRule="auto"/>
        <w:ind w:left="709" w:hanging="425"/>
        <w:jc w:val="both"/>
      </w:pPr>
      <w:r w:rsidRPr="009E327C">
        <w:t>zapewnienie wierzycielom możliwość doprowadzenia do uchylenia planu spłaty wierzycieli, jeżeli nie jest on wykonywany przez upadłego.</w:t>
      </w:r>
    </w:p>
    <w:p w14:paraId="31B067C6" w14:textId="77777777" w:rsidR="00382249" w:rsidRPr="009E327C" w:rsidRDefault="00382249" w:rsidP="00136304">
      <w:pPr>
        <w:spacing w:before="120" w:line="360" w:lineRule="auto"/>
        <w:jc w:val="both"/>
      </w:pPr>
      <w:r w:rsidRPr="009E327C">
        <w:t>Ponadto celem projektu jest zwiększenie efektywności postępowań w znaczeniu ekonomicznym, dlatego proponuje się wprowadzenie ryczałtu na wydatki w tzw. uproszczonym postępowaniu upadłościowym osoby fizycznej nieprowadzącej działalności gospodarczej. Wysokość ryczałtu będzie wynikała z przepisu ustawy</w:t>
      </w:r>
      <w:r w:rsidR="00463EE0" w:rsidRPr="009E327C">
        <w:t xml:space="preserve">. </w:t>
      </w:r>
      <w:r w:rsidRPr="009E327C">
        <w:t xml:space="preserve">Z jednej strony pozwoli to na efektywniejsze wykorzystanie funduszów masy upadłości, a z drugiej </w:t>
      </w:r>
      <w:r w:rsidR="0049441C">
        <w:t xml:space="preserve">– </w:t>
      </w:r>
      <w:r w:rsidRPr="009E327C">
        <w:t xml:space="preserve">przyspieszy bieg postępowań. </w:t>
      </w:r>
    </w:p>
    <w:p w14:paraId="5789EF7E" w14:textId="77777777" w:rsidR="00382249" w:rsidRPr="009E327C" w:rsidRDefault="00382249" w:rsidP="00136304">
      <w:pPr>
        <w:spacing w:before="120" w:line="360" w:lineRule="auto"/>
      </w:pPr>
    </w:p>
    <w:p w14:paraId="61B5A96F" w14:textId="77777777" w:rsidR="00382249" w:rsidRPr="009E327C" w:rsidRDefault="00382249" w:rsidP="00136304">
      <w:pPr>
        <w:spacing w:before="120" w:line="360" w:lineRule="auto"/>
        <w:jc w:val="both"/>
        <w:rPr>
          <w:b/>
          <w:bCs/>
        </w:rPr>
      </w:pPr>
      <w:bookmarkStart w:id="0" w:name="_Hlk178332390"/>
      <w:bookmarkStart w:id="1" w:name="_Hlk179213469"/>
      <w:r w:rsidRPr="009E327C">
        <w:rPr>
          <w:b/>
          <w:bCs/>
        </w:rPr>
        <w:t>II. Projektowane zmiany</w:t>
      </w:r>
    </w:p>
    <w:p w14:paraId="11320069" w14:textId="77777777" w:rsidR="00463EE0" w:rsidRPr="009E327C" w:rsidRDefault="00463EE0" w:rsidP="00136304">
      <w:pPr>
        <w:spacing w:before="120" w:line="360" w:lineRule="auto"/>
        <w:ind w:firstLine="567"/>
        <w:jc w:val="both"/>
        <w:rPr>
          <w:b/>
          <w:bCs/>
        </w:rPr>
      </w:pPr>
      <w:r w:rsidRPr="009E327C">
        <w:rPr>
          <w:b/>
          <w:bCs/>
        </w:rPr>
        <w:t>Art. 1 pkt 1 projektu (zmiana art. 168 ust. 2a Prawa upadłościowego)</w:t>
      </w:r>
    </w:p>
    <w:p w14:paraId="46468400" w14:textId="77777777" w:rsidR="00463EE0" w:rsidRPr="009E327C" w:rsidRDefault="00463EE0" w:rsidP="00136304">
      <w:pPr>
        <w:spacing w:before="120" w:line="360" w:lineRule="auto"/>
        <w:ind w:firstLine="567"/>
        <w:jc w:val="both"/>
      </w:pPr>
      <w:r w:rsidRPr="009E327C">
        <w:t xml:space="preserve">Mając na uwadze konieczność </w:t>
      </w:r>
      <w:r w:rsidR="00F07DD2" w:rsidRPr="009E327C">
        <w:t xml:space="preserve">ochrony </w:t>
      </w:r>
      <w:r w:rsidRPr="009E327C">
        <w:t>interesów drobnych wierzycieli w</w:t>
      </w:r>
      <w:r w:rsidR="00EF1991" w:rsidRPr="009E327C">
        <w:t> </w:t>
      </w:r>
      <w:r w:rsidRPr="009E327C">
        <w:t>całym procesie upadłościowym</w:t>
      </w:r>
      <w:r w:rsidR="0049441C">
        <w:t>,</w:t>
      </w:r>
      <w:r w:rsidRPr="009E327C">
        <w:t xml:space="preserve"> ze szczególnym uwzględnieniem sytuacji umorzenia zobowiązań upadłego, jak i ustalenia lub zmiany planu spłaty poszczególnych wierzycieli, </w:t>
      </w:r>
      <w:r w:rsidR="00A525E5" w:rsidRPr="009E327C">
        <w:t xml:space="preserve">w toku postępowania prowadzonego </w:t>
      </w:r>
      <w:r w:rsidR="0049441C">
        <w:t xml:space="preserve">w </w:t>
      </w:r>
      <w:r w:rsidR="00A525E5" w:rsidRPr="009E327C">
        <w:t>trybie komisarski</w:t>
      </w:r>
      <w:r w:rsidR="0049441C">
        <w:t>m</w:t>
      </w:r>
      <w:r w:rsidR="00A525E5" w:rsidRPr="009E327C">
        <w:t xml:space="preserve"> (</w:t>
      </w:r>
      <w:r w:rsidR="0049441C">
        <w:t xml:space="preserve">z </w:t>
      </w:r>
      <w:r w:rsidR="00A525E5" w:rsidRPr="009E327C">
        <w:t xml:space="preserve">wyłączeniem uproszczonej upadłości konsumenckiej) </w:t>
      </w:r>
      <w:r w:rsidRPr="009E327C">
        <w:t>istnieje konieczność wzmocnienia nadzoru sędziego-komisarza nad toczącymi się postępowaniami upadłościowymi</w:t>
      </w:r>
      <w:r w:rsidR="007F0B5F" w:rsidRPr="009E327C">
        <w:t xml:space="preserve">. W związku z powyższym dodano w art. 168 ust. </w:t>
      </w:r>
      <w:r w:rsidR="0002483F" w:rsidRPr="009E327C">
        <w:t>4</w:t>
      </w:r>
      <w:r w:rsidR="007F0B5F" w:rsidRPr="009E327C">
        <w:t>a w</w:t>
      </w:r>
      <w:r w:rsidR="00EF1991" w:rsidRPr="009E327C">
        <w:t> </w:t>
      </w:r>
      <w:r w:rsidR="007F0B5F" w:rsidRPr="009E327C">
        <w:t>brzmieniu</w:t>
      </w:r>
      <w:r w:rsidRPr="009E327C">
        <w:t xml:space="preserve"> „</w:t>
      </w:r>
      <w:r w:rsidR="0002483F" w:rsidRPr="009E327C">
        <w:t>s</w:t>
      </w:r>
      <w:r w:rsidRPr="009E327C">
        <w:t>prawozdania, o których mowa w ust. 1, 2 i 4, rozpoznaje sędzia</w:t>
      </w:r>
      <w:r w:rsidR="0049441C">
        <w:noBreakHyphen/>
      </w:r>
      <w:r w:rsidRPr="009E327C">
        <w:t>komisarz po wysłuchaniu w miarę potrzeby i możliwości syndyka, upadłego i członków rady wierzycieli.”.</w:t>
      </w:r>
      <w:r w:rsidR="00F22EB8" w:rsidRPr="009E327C">
        <w:t xml:space="preserve"> Proponowana zmiana art. 168</w:t>
      </w:r>
      <w:r w:rsidR="001F2CBB" w:rsidRPr="009E327C">
        <w:t xml:space="preserve"> </w:t>
      </w:r>
      <w:r w:rsidR="0002483F" w:rsidRPr="009E327C">
        <w:t>P.U.</w:t>
      </w:r>
      <w:r w:rsidR="00F22EB8" w:rsidRPr="009E327C">
        <w:t xml:space="preserve"> nie będzie dotyczyła postępowań toczących się na podstawie przepisów tytułu V części trzeciej Prawa upadłościowego (art.</w:t>
      </w:r>
      <w:r w:rsidR="007A509A">
        <w:t xml:space="preserve"> </w:t>
      </w:r>
      <w:r w:rsidR="00F22EB8" w:rsidRPr="009E327C">
        <w:t>491</w:t>
      </w:r>
      <w:r w:rsidR="00F22EB8" w:rsidRPr="009E327C">
        <w:rPr>
          <w:vertAlign w:val="superscript"/>
        </w:rPr>
        <w:t>1</w:t>
      </w:r>
      <w:r w:rsidR="00F22EB8" w:rsidRPr="009E327C">
        <w:t xml:space="preserve"> i nast. pr. upadł.)</w:t>
      </w:r>
      <w:r w:rsidR="001F2CBB" w:rsidRPr="009E327C">
        <w:t>.</w:t>
      </w:r>
    </w:p>
    <w:p w14:paraId="1A42D542" w14:textId="77777777" w:rsidR="00382249" w:rsidRPr="009E327C" w:rsidRDefault="00382249" w:rsidP="00136304">
      <w:pPr>
        <w:spacing w:before="120" w:line="360" w:lineRule="auto"/>
        <w:ind w:firstLine="567"/>
        <w:jc w:val="both"/>
        <w:rPr>
          <w:b/>
          <w:bCs/>
        </w:rPr>
      </w:pPr>
      <w:r w:rsidRPr="009E327C">
        <w:rPr>
          <w:b/>
          <w:bCs/>
        </w:rPr>
        <w:t xml:space="preserve">Art. 1 pkt </w:t>
      </w:r>
      <w:r w:rsidR="00764084" w:rsidRPr="009E327C">
        <w:rPr>
          <w:b/>
          <w:bCs/>
        </w:rPr>
        <w:t>2</w:t>
      </w:r>
      <w:r w:rsidRPr="009E327C">
        <w:rPr>
          <w:b/>
          <w:bCs/>
        </w:rPr>
        <w:t xml:space="preserve"> i </w:t>
      </w:r>
      <w:r w:rsidR="00764084" w:rsidRPr="009E327C">
        <w:rPr>
          <w:b/>
          <w:bCs/>
        </w:rPr>
        <w:t>3</w:t>
      </w:r>
      <w:r w:rsidRPr="009E327C">
        <w:rPr>
          <w:b/>
          <w:bCs/>
        </w:rPr>
        <w:t xml:space="preserve"> projektu (zmiana art. 219 ust. 4 oraz art. 221 ust. 1a Prawa upadłościowego)</w:t>
      </w:r>
    </w:p>
    <w:p w14:paraId="10FC15FA" w14:textId="77777777" w:rsidR="00382249" w:rsidRPr="009E327C" w:rsidRDefault="00382249" w:rsidP="00136304">
      <w:pPr>
        <w:spacing w:before="120" w:line="360" w:lineRule="auto"/>
        <w:ind w:firstLine="567"/>
        <w:jc w:val="both"/>
      </w:pPr>
      <w:r w:rsidRPr="009E327C">
        <w:t xml:space="preserve">Projektowane przepisy zmierzają do zwiększenia efektywności postępowań upadłościowych i restrukturyzacyjnych, w tym postępowań w przedmiocie umorzenia zobowiązań, poprzez przeciwdziałanie przewlekłości spowodowanej nadmiernym obciążeniem </w:t>
      </w:r>
      <w:r w:rsidRPr="009E327C">
        <w:lastRenderedPageBreak/>
        <w:t>sędziów i referendarzy sądowych czynnościami technicznymi. Zmiana zakłada, że obwieszczeń, w tym obwieszczeń o prawomocności orzeczenia, jak również ujawnienia informacji o prawomocności orzeczenia, może dokonać w systemie teleinformatycznym obsługującym postępowanie sądowe także asystent sędziego lub pracownik sekretariatu</w:t>
      </w:r>
      <w:r w:rsidR="008104EF" w:rsidRPr="009E327C">
        <w:t>.</w:t>
      </w:r>
    </w:p>
    <w:p w14:paraId="31E3D8DC" w14:textId="77777777" w:rsidR="00382249" w:rsidRPr="009E327C" w:rsidRDefault="00382249" w:rsidP="00136304">
      <w:pPr>
        <w:spacing w:before="120" w:line="360" w:lineRule="auto"/>
        <w:ind w:firstLine="567"/>
        <w:jc w:val="both"/>
        <w:rPr>
          <w:b/>
          <w:bCs/>
        </w:rPr>
      </w:pPr>
      <w:r w:rsidRPr="009E327C">
        <w:rPr>
          <w:b/>
          <w:bCs/>
        </w:rPr>
        <w:t xml:space="preserve">Art. 1 pkt </w:t>
      </w:r>
      <w:r w:rsidR="00764084" w:rsidRPr="009E327C">
        <w:rPr>
          <w:b/>
          <w:bCs/>
        </w:rPr>
        <w:t>4</w:t>
      </w:r>
      <w:r w:rsidRPr="009E327C">
        <w:rPr>
          <w:b/>
          <w:bCs/>
        </w:rPr>
        <w:t xml:space="preserve"> projektu (zmiana art. 370a Prawa upadłościowego)</w:t>
      </w:r>
    </w:p>
    <w:p w14:paraId="0D033CE0" w14:textId="77777777" w:rsidR="00382249" w:rsidRPr="009E327C" w:rsidRDefault="00382249" w:rsidP="00136304">
      <w:pPr>
        <w:spacing w:before="120" w:line="360" w:lineRule="auto"/>
        <w:ind w:firstLine="567"/>
        <w:jc w:val="both"/>
      </w:pPr>
      <w:r w:rsidRPr="009E327C">
        <w:t>Zmiana jest konsekwencją przyjęcia zasady, że do umorzenia zobowiązań dochodzi z</w:t>
      </w:r>
      <w:r w:rsidR="00CD269F" w:rsidRPr="009E327C">
        <w:t> </w:t>
      </w:r>
      <w:r w:rsidRPr="009E327C">
        <w:t>mocy prawa po zakończeniu okresu realizacji planu spłaty wierzycieli, pod warunkiem że plan spłaty wierzycieli nie został przez sąd uchylony lub zmieniony. Celem zwiększenia ochrony prawnej wierzycieli w projekcie przyjęto rozwiązanie, że umorzenie zobowiązań upadłego następuje z upływem trzeciego miesiąca od upływu okresu, na który został ustalony plan spłaty wierzycieli. Wierzyciele mają więc możliwość wnoszenia do sądu o zmianę lub uchylenie planu spłaty nie tylko w okresie realizacji planu, ale również w ciągu dodatkowych trzech miesięcy od upływu okresu, na który plan ustalono. Po tym okresie dochodzi do skutku w postaci umorzenia zobowiązań upadłego.</w:t>
      </w:r>
    </w:p>
    <w:p w14:paraId="504325C1" w14:textId="77777777" w:rsidR="00382249" w:rsidRPr="009E327C" w:rsidRDefault="00382249" w:rsidP="00136304">
      <w:pPr>
        <w:spacing w:before="120" w:line="360" w:lineRule="auto"/>
        <w:ind w:firstLine="567"/>
        <w:jc w:val="both"/>
      </w:pPr>
      <w:r w:rsidRPr="009E327C">
        <w:t>Informacja na temat zasad przyszłego umorzenia zobowiązań upadłego powinna być znana wierzycielom oraz podana do publicznej wiadomości, dlatego w świetle projektowanych przepisów informacja ta jest elementem obligatoryjnym postanowienia o</w:t>
      </w:r>
      <w:r w:rsidR="00EF1991" w:rsidRPr="009E327C">
        <w:t> </w:t>
      </w:r>
      <w:r w:rsidRPr="009E327C">
        <w:t>ustaleniu planu spłaty wierzycieli. Postanowienie to podlega obwieszczeniu, co wzmacnia zasadę transparentności postępowania oraz pewności obrotu. Ponadto dodano przepis, zgodnie z którym już po uprawomocnieniu się postanowienia o ustaleniu planu spłaty wierzycieli dokonuje się kolejnego obwieszczenia – tym razem informacji o terminie (dniu), z</w:t>
      </w:r>
      <w:r w:rsidR="00EF1991" w:rsidRPr="009E327C">
        <w:t> </w:t>
      </w:r>
      <w:r w:rsidRPr="009E327C">
        <w:t xml:space="preserve">upływem którego zobowiązania upadłego ulegną umorzeniu z mocy prawa. Data dzienna jest podawana na etapie ujawniania informacji o prawomocności postanowienia, ponieważ wówczas (z chwilą ustalenia daty prawomocności orzeczenia) można ustalić termin końcowy realizacji planu spłaty wierzycieli. </w:t>
      </w:r>
    </w:p>
    <w:p w14:paraId="3B0C48C9" w14:textId="77777777" w:rsidR="00382249" w:rsidRPr="009E327C" w:rsidRDefault="00382249" w:rsidP="00136304">
      <w:pPr>
        <w:spacing w:before="120" w:line="360" w:lineRule="auto"/>
        <w:ind w:firstLine="567"/>
        <w:jc w:val="both"/>
        <w:rPr>
          <w:b/>
          <w:bCs/>
        </w:rPr>
      </w:pPr>
      <w:r w:rsidRPr="009E327C">
        <w:rPr>
          <w:b/>
          <w:bCs/>
        </w:rPr>
        <w:t xml:space="preserve">Art. 1 pkt </w:t>
      </w:r>
      <w:r w:rsidR="00764084" w:rsidRPr="009E327C">
        <w:rPr>
          <w:b/>
          <w:bCs/>
        </w:rPr>
        <w:t>5</w:t>
      </w:r>
      <w:r w:rsidRPr="009E327C">
        <w:rPr>
          <w:b/>
          <w:bCs/>
        </w:rPr>
        <w:t xml:space="preserve"> projektu (</w:t>
      </w:r>
      <w:r w:rsidR="00196E8C" w:rsidRPr="009E327C">
        <w:rPr>
          <w:b/>
          <w:bCs/>
        </w:rPr>
        <w:t>uchylenie</w:t>
      </w:r>
      <w:r w:rsidRPr="009E327C">
        <w:rPr>
          <w:b/>
          <w:bCs/>
        </w:rPr>
        <w:t xml:space="preserve"> art. 370b Prawa upadłościowego)</w:t>
      </w:r>
    </w:p>
    <w:p w14:paraId="61512188" w14:textId="77777777" w:rsidR="00382249" w:rsidRPr="00136304" w:rsidRDefault="00382249" w:rsidP="00136304">
      <w:pPr>
        <w:spacing w:before="120" w:line="360" w:lineRule="auto"/>
        <w:ind w:firstLine="567"/>
        <w:jc w:val="both"/>
        <w:rPr>
          <w:strike/>
        </w:rPr>
      </w:pPr>
      <w:r w:rsidRPr="009E327C">
        <w:t>Uchyleniu podlegają przepisy dopuszczające możliwość wniesienia skargi kasacyjnej od orzeczeń sądu drugiej instancji zarówno w przedmiocie umorzenia zobowiązań upadłego, jak i ustalenia lub zmiany planu spłaty wierzycieli. Postępowanie upadłościowe co do zasady ma charakter wykonawczy, a w postępowaniach wykonawczych (analogicznie w</w:t>
      </w:r>
      <w:r w:rsidR="00EF1991" w:rsidRPr="009E327C">
        <w:t> </w:t>
      </w:r>
      <w:r w:rsidRPr="009E327C">
        <w:t xml:space="preserve">postępowaniu egzekucyjnym) nadzwyczajny środek zaskarżenia w postaci skargi kasacyjnej nie występuje. Projektowane rozwiązanie zapewni więc spójność systemową. </w:t>
      </w:r>
      <w:r w:rsidR="00D856FD" w:rsidRPr="009E327C">
        <w:t xml:space="preserve">Należy podkreślić w ww. </w:t>
      </w:r>
      <w:r w:rsidR="00D856FD" w:rsidRPr="009E327C">
        <w:lastRenderedPageBreak/>
        <w:t>postępowaniach skarga kasacyjna ma znikome zastosowanie w</w:t>
      </w:r>
      <w:r w:rsidR="000D38A1" w:rsidRPr="009E327C">
        <w:t> </w:t>
      </w:r>
      <w:r w:rsidR="00D856FD" w:rsidRPr="009E327C">
        <w:t xml:space="preserve">praktyce. Ponadto, biorąc pod uwagę ustawowe przesłanki umorzenia zobowiązań oraz ustalenia lub zmiany planu spłaty wierzycieli, wskazać należy, że ogniskują się one przede wszystkim wokół materii dotyczącej ustaleń faktycznych (w zakresie możliwości zarobkowych upadłego i jego sytuacji osobistej, przyczyn powstania stanu niewypłacalności, stopnia winy w dorowadzeniu do stanu niewypłacalności, a także co do przesłanek humanitaryzmu i słuszności), a nie sfery interpretacji przepisów prawa. Kwestia ustaleń faktycznych nie mieści się w zakresie kontroli kasacyjnej sprawowanej przez Sąd Najwyższy. </w:t>
      </w:r>
      <w:r w:rsidRPr="009E327C">
        <w:t>Z</w:t>
      </w:r>
      <w:r w:rsidR="00EF1991" w:rsidRPr="009E327C">
        <w:t> </w:t>
      </w:r>
      <w:r w:rsidRPr="009E327C">
        <w:t xml:space="preserve">kolei możliwość zapewnienia spójności orzeczniczej w sprawach dotyczących oddłużenia jest gwarantowana instytucją pytań prawnych do Sądu Najwyższego, które mogą być przedstawiane przez sądy odwoławcze na etapie rozpoznawania zażaleń na postanowienia sądów upadłościowych w przedmiocie umorzenia zobowiązań lub ustalenia planu spłaty wierzycieli. </w:t>
      </w:r>
    </w:p>
    <w:p w14:paraId="0080486F" w14:textId="77777777" w:rsidR="00382249" w:rsidRPr="009E327C" w:rsidRDefault="00382249" w:rsidP="00136304">
      <w:pPr>
        <w:spacing w:before="120" w:line="360" w:lineRule="auto"/>
        <w:ind w:firstLine="567"/>
        <w:jc w:val="both"/>
        <w:rPr>
          <w:b/>
          <w:bCs/>
        </w:rPr>
      </w:pPr>
      <w:r w:rsidRPr="009E327C">
        <w:rPr>
          <w:b/>
          <w:bCs/>
        </w:rPr>
        <w:t xml:space="preserve">Art. 1 pkt </w:t>
      </w:r>
      <w:r w:rsidR="00764084" w:rsidRPr="009E327C">
        <w:rPr>
          <w:b/>
          <w:bCs/>
        </w:rPr>
        <w:t>6</w:t>
      </w:r>
      <w:r w:rsidRPr="009E327C">
        <w:rPr>
          <w:b/>
          <w:bCs/>
        </w:rPr>
        <w:t xml:space="preserve"> projektu (zmiana art. 370c ust. 4 Prawa upadłościowego)</w:t>
      </w:r>
    </w:p>
    <w:p w14:paraId="54677EA0" w14:textId="77777777" w:rsidR="00382249" w:rsidRPr="009E327C" w:rsidRDefault="00382249" w:rsidP="00136304">
      <w:pPr>
        <w:spacing w:before="120" w:line="360" w:lineRule="auto"/>
        <w:ind w:firstLine="567"/>
        <w:jc w:val="both"/>
      </w:pPr>
      <w:r w:rsidRPr="009E327C">
        <w:t>Projektowany przepis zmierza do ujednolicenia zasad składania przez upadłego rocznych sprawozdań upadłego na temat jego sytuacji majątkowej i zawodowej zarówno w</w:t>
      </w:r>
      <w:r w:rsidR="00CD269F" w:rsidRPr="009E327C">
        <w:t> </w:t>
      </w:r>
      <w:r w:rsidRPr="009E327C">
        <w:t>odniesieniu do postępowań, w których ustalono plan spłaty wierzycieli, jak i postępowań, w</w:t>
      </w:r>
      <w:r w:rsidR="00CD269F" w:rsidRPr="009E327C">
        <w:t> </w:t>
      </w:r>
      <w:r w:rsidRPr="009E327C">
        <w:t>których warunkowo umorzono zobowiązania upadłego. W przepisie wprost przewidziano, że sprawozdania nie podlegają nadzorowi sądu. Jest to konsekwencja przyjęcia zasady, że sąd nie sprawuje nadzoru nad wykonywaniem planu spłaty z urzędu, a tylko na wiosek uczestników, czyli dopiero w razie złożenia przez wierzycieli lub upadłego wniosku o</w:t>
      </w:r>
      <w:r w:rsidR="00CD269F" w:rsidRPr="009E327C">
        <w:t> </w:t>
      </w:r>
      <w:r w:rsidRPr="009E327C">
        <w:t>uchylenie lub zmianę planu spłaty wierzycieli. Wskazanie w projektowym przepisie wprost, że „składanie sprawozdań i dokumentów, o których mowa powyżej, nie podlega nadzorowi sądu” oznacza, że złożenie tych dokumentów nie podlega także kontroli formalnej na gruncie przepisów postępowania cywilnego</w:t>
      </w:r>
      <w:r w:rsidR="009321AF" w:rsidRPr="009E327C">
        <w:t>, w tym także badania</w:t>
      </w:r>
      <w:r w:rsidR="00695B75">
        <w:t>,</w:t>
      </w:r>
      <w:r w:rsidR="009321AF" w:rsidRPr="009E327C">
        <w:t xml:space="preserve"> czy przedmiotowe sprawozdani</w:t>
      </w:r>
      <w:r w:rsidR="008A5FD6" w:rsidRPr="009E327C">
        <w:t>a</w:t>
      </w:r>
      <w:r w:rsidR="009321AF" w:rsidRPr="009E327C">
        <w:t xml:space="preserve"> został</w:t>
      </w:r>
      <w:r w:rsidR="008A5FD6" w:rsidRPr="009E327C">
        <w:t>y</w:t>
      </w:r>
      <w:r w:rsidR="009321AF" w:rsidRPr="009E327C">
        <w:t xml:space="preserve"> złożone </w:t>
      </w:r>
      <w:r w:rsidR="000D38A1" w:rsidRPr="009E327C">
        <w:t>p</w:t>
      </w:r>
      <w:r w:rsidR="009321AF" w:rsidRPr="009E327C">
        <w:t xml:space="preserve">rzez </w:t>
      </w:r>
      <w:r w:rsidR="008A5FD6" w:rsidRPr="009E327C">
        <w:t>upadłego</w:t>
      </w:r>
      <w:r w:rsidRPr="009E327C">
        <w:t xml:space="preserve">. </w:t>
      </w:r>
      <w:r w:rsidR="001A171A" w:rsidRPr="00136304">
        <w:rPr>
          <w:i/>
          <w:iCs/>
        </w:rPr>
        <w:t>Ratio legis</w:t>
      </w:r>
      <w:r w:rsidR="001A171A" w:rsidRPr="009E327C">
        <w:t xml:space="preserve"> rozszerzenia zakresu sprawozdania upadłego sprowadza się do przedstawienia pełnej jego sytuacji zawodowej i majątkowej.</w:t>
      </w:r>
      <w:r w:rsidR="00411324" w:rsidRPr="009E327C">
        <w:t xml:space="preserve"> Upadły będzie zobligowany dołączyć kopię rocznego zeznania podatkowego PIT. Przez pojęcie „kopia rocznego zeznania podatkowego (PIT) rozumie się wszelkie kopie zeznań upadłego z zakresu podatku PIT, w tym także zeznanie ryczałtowe PIT-28. </w:t>
      </w:r>
      <w:r w:rsidR="001A171A" w:rsidRPr="009E327C">
        <w:t>Należy podkreślić, że obecnie brak informacji w zakresie możliwości zarobkowych, wydatków potrzebnych na utrzymanie swoje i osób pozostających na jego utrzymaniu, w tym potrzeby mieszkaniowe, powoduje, że adresat sprawozdania nie posiada pełnej wiedzy na temat rzeczywistej sytuacji upadłego</w:t>
      </w:r>
      <w:r w:rsidR="000D38A1" w:rsidRPr="009E327C">
        <w:t>.</w:t>
      </w:r>
    </w:p>
    <w:p w14:paraId="217191BA" w14:textId="77777777" w:rsidR="008A5FD6" w:rsidRPr="009E327C" w:rsidRDefault="008A5FD6" w:rsidP="00136304">
      <w:pPr>
        <w:spacing w:before="120" w:line="360" w:lineRule="auto"/>
        <w:ind w:firstLine="567"/>
        <w:jc w:val="both"/>
      </w:pPr>
      <w:r w:rsidRPr="009E327C">
        <w:lastRenderedPageBreak/>
        <w:t>Należy podkreślić, że plan spłaty wierzycieli realizuje przede wszystkim prywatny interes majątkowy wierzycieli</w:t>
      </w:r>
      <w:r w:rsidR="00695B75">
        <w:t>,</w:t>
      </w:r>
      <w:r w:rsidRPr="009E327C">
        <w:t xml:space="preserve"> tj. zmierza do zaspokojenia przysługujących im roszczeń, wcześniej ustalonych co do zasady i wysokości przez sąd upadłościowy. Pierwiastek publiczny rozumiany jako interes ogólnospołeczny na tym etapie postępowania nie pełni funkcji wiodącej. W związku z tym nadzór państwa nad prawidłowością wykonywania planu spłaty wierzycieli powinien mieć miejsce tylko wtedy, gdy żądają tego interesariusze. To właśnie wierzyciele mają najlepszą wiedzę na temat tego, czy przysługujące im roszczenia są spłacane przez dłużnika czy też zaprzestano realizacji planu spłaty wierzycieli. Rolą sądu nie jest realizacja z urzędu ochrony interesów wierzycieli w zakresie prawidłowej realizacji obowiązków płatniczych ciążących na ich dłużnikach.</w:t>
      </w:r>
    </w:p>
    <w:p w14:paraId="1CF04418" w14:textId="77777777" w:rsidR="00382249" w:rsidRPr="009E327C" w:rsidRDefault="00382249" w:rsidP="00136304">
      <w:pPr>
        <w:spacing w:before="120" w:line="360" w:lineRule="auto"/>
        <w:ind w:firstLine="567"/>
        <w:jc w:val="both"/>
        <w:rPr>
          <w:b/>
          <w:bCs/>
        </w:rPr>
      </w:pPr>
      <w:r w:rsidRPr="009E327C">
        <w:rPr>
          <w:b/>
          <w:bCs/>
        </w:rPr>
        <w:t xml:space="preserve">Art. 1 pkt </w:t>
      </w:r>
      <w:r w:rsidR="00764084" w:rsidRPr="009E327C">
        <w:rPr>
          <w:b/>
          <w:bCs/>
        </w:rPr>
        <w:t>7</w:t>
      </w:r>
      <w:r w:rsidRPr="009E327C">
        <w:rPr>
          <w:b/>
          <w:bCs/>
        </w:rPr>
        <w:t xml:space="preserve"> projektu (zmiana art. 370d Prawa upadłościowego)</w:t>
      </w:r>
    </w:p>
    <w:p w14:paraId="4871170C" w14:textId="77777777" w:rsidR="00382249" w:rsidRPr="009E327C" w:rsidRDefault="00382249" w:rsidP="00136304">
      <w:pPr>
        <w:spacing w:before="120" w:line="360" w:lineRule="auto"/>
        <w:ind w:firstLine="567"/>
        <w:jc w:val="both"/>
      </w:pPr>
      <w:r w:rsidRPr="009E327C">
        <w:t>Projektowany przepis ust. 2a wprowadza regułę, zgodnie z którą w razie wcześniejszej spłaty wierzycieli w zakresie objętym planem spłaty wierzycieli upadły może wystąpić z</w:t>
      </w:r>
      <w:r w:rsidR="00CD269F" w:rsidRPr="009E327C">
        <w:t> </w:t>
      </w:r>
      <w:r w:rsidRPr="009E327C">
        <w:t xml:space="preserve">wnioskiem o zmianę planu spłaty poprzez skrócenie okresu wykonania planu. Zmiana ta jest uzasadniona przyjęciem sztywnej koncepcji, w której zobowiązania upadłego objęte planem spłaty wierzycieli ulegają umorzeniu z mocy prawa wraz z upływem trzech miesięcy od końca okresu wykonania planu, który jest przewidziany w jego treści. Oznacza to, że pierwotnie zdefiniowany okres wykonania planu spłaty nie ulega samoczynnie skróceniu, nawet jeśli zobowiązania planem objęte zostałyby spłacone wcześniej. </w:t>
      </w:r>
      <w:r w:rsidRPr="00695B75">
        <w:t>Projektodawca uznaje sytuacje, w</w:t>
      </w:r>
      <w:r w:rsidR="00CD269F" w:rsidRPr="00695B75">
        <w:t> </w:t>
      </w:r>
      <w:r w:rsidRPr="00695B75">
        <w:t>których uczciwy dłużnik poprawił swoją sytuację majątkową i zwiększył swoje dochody bieżące w sposób, który nie był przewidziany na etapie ustalania planu spłaty. Jeśli możliwości finansowe dłużnika się poprawiły, ustawa powinna go zachęcać do wcześniejszego zaspokojenia wierzycieli. Bez otwarcia możliwości przyspieszenia momentu ostatecznego umorzenia zobowiązań, poprzez skrócenie terminu wykonania planu, od którego</w:t>
      </w:r>
      <w:r w:rsidRPr="009E327C">
        <w:t xml:space="preserve"> liczony będzie termin trzech miesięcy, takiej zachęty dłużnik miał nie będzie. To z kolei spowoduje, że wierzyciele nie otrzymają wcześniejszej spłaty. Za istotne uznano jednak, że zmiana planu może mieć miejsce wyłącznie na skutek wcześniejszej, pełnej spłaty zobowiązań w wysokości objętej planem.</w:t>
      </w:r>
    </w:p>
    <w:p w14:paraId="358E0864" w14:textId="77777777" w:rsidR="00382249" w:rsidRPr="009E327C" w:rsidRDefault="00382249" w:rsidP="00136304">
      <w:pPr>
        <w:spacing w:before="120" w:line="360" w:lineRule="auto"/>
        <w:ind w:firstLine="567"/>
        <w:jc w:val="both"/>
      </w:pPr>
      <w:r w:rsidRPr="00D926CB">
        <w:t>Interes wierzycieli powinien być jednak dodatkowo chroniony poprzez zastrzeżenie, że skrócenie okresu wykonania planu spłaty możliwe jest tylko wtedy, gdy nie prowadzi to do pokrzywdzenia wierzycieli</w:t>
      </w:r>
      <w:r w:rsidR="0049697E" w:rsidRPr="00D926CB">
        <w:t xml:space="preserve"> oraz jest uzasadnione względami słuszności lub względami humanitarnymi.</w:t>
      </w:r>
      <w:r w:rsidRPr="00D926CB">
        <w:t xml:space="preserve"> Pokrzywdzenie wierzycieli może wynikać z oczekiwanego przez upadłego otrzymania nadzwyczajnego wpływu środków, w szczególności z tytułu spadku, nagrody lub </w:t>
      </w:r>
      <w:r w:rsidRPr="00D926CB">
        <w:lastRenderedPageBreak/>
        <w:t>darowizny. Sąd</w:t>
      </w:r>
      <w:r w:rsidR="00D926CB">
        <w:t>,</w:t>
      </w:r>
      <w:r w:rsidRPr="00D926CB">
        <w:t xml:space="preserve"> rozpoznający wniosek</w:t>
      </w:r>
      <w:r w:rsidR="00D926CB">
        <w:t>,</w:t>
      </w:r>
      <w:r w:rsidRPr="00D926CB">
        <w:t xml:space="preserve"> powinien zatem ustalić, czy takie nadzwyczajne wydarzenia, które potencjalnie mogłyby</w:t>
      </w:r>
      <w:r w:rsidRPr="009E327C">
        <w:t xml:space="preserve"> doprowadzić do zmiany planu spłaty poprzez podwyższenie wysokości spłaty dla wierzycieli, są przewidywane. Dodatkowo sąd nie może skrócić planu o okres dłuższy niż połowa pierwotnie przyjętego okresu. Nie będą aprobowane sytuacje, w których dłużnik spłaciłby całość kwot objętych planem w krótkim okresie po jego ustaleniu, po czym zażądałby skrócenia okresu i tym samym przyspieszenia umorzenia zobowiązań. Zdaniem projektodawcy samo wykonywanie przez upadłego planu spłaty jest istotne ze względów społecznych i stanowi swoisty okres próby, w którym upadły winien szczególnie rzetelnie gospodarować swoim majątkiem i powstrzymać się od zaciągania kolejnych zobowiązań finansowych. Nie można też wykluczać podwyższenia spłat objętych planem w tym okresie na podstawie art. 370d ust. 2</w:t>
      </w:r>
      <w:r w:rsidR="000226FA" w:rsidRPr="009E327C">
        <w:t xml:space="preserve"> P.U</w:t>
      </w:r>
      <w:r w:rsidRPr="009E327C">
        <w:t>.</w:t>
      </w:r>
    </w:p>
    <w:p w14:paraId="24E4C6C9" w14:textId="77777777" w:rsidR="00382249" w:rsidRPr="009E327C" w:rsidRDefault="00382249" w:rsidP="00136304">
      <w:pPr>
        <w:spacing w:before="120" w:line="360" w:lineRule="auto"/>
        <w:ind w:firstLine="567"/>
        <w:jc w:val="both"/>
      </w:pPr>
      <w:r w:rsidRPr="009E327C">
        <w:t>Przyjęto przy tym, że wysłuchanie dłużnika oraz spłaconych wierzycieli nie powinno być obowiązkowe. W tej sprawie decyzję procesową podejmie sąd.</w:t>
      </w:r>
    </w:p>
    <w:p w14:paraId="77AADA6B" w14:textId="77777777" w:rsidR="00382249" w:rsidRPr="009E327C" w:rsidRDefault="00382249" w:rsidP="00136304">
      <w:pPr>
        <w:spacing w:before="120" w:line="360" w:lineRule="auto"/>
        <w:ind w:firstLine="567"/>
        <w:jc w:val="both"/>
      </w:pPr>
      <w:r w:rsidRPr="009E327C">
        <w:t>Projektowany przepis ust. 3a wprowadza zasadę, że w razie oddalenia wniosku wierzyciela o zmianę planu spłaty wierzycieli w stosunku do dłużnika, który nie złożył w</w:t>
      </w:r>
      <w:r w:rsidR="00CD269F" w:rsidRPr="009E327C">
        <w:t> </w:t>
      </w:r>
      <w:r w:rsidRPr="009E327C">
        <w:t>terminie rocznego sprawozdania na temat swojej sytuacji majątkowej i zawodowej, kosztami sądowymi obciąża się dłużnika. Zmiana ta jest konsekwencją przyjęcia, że niezłożenie sprawozdania nie stanowi samodzielnej przesłanki uchylenia planu spłaty wierzycieli, jeżeli plan spłaty jest przez upadłego realizowany. Zmiana ta nie powinna jednak odbijać się negatywnie na sytuacji wierzycieli, którzy ze sprawozdań mogą czerpać wiedzę na temat poprawy sytuacji dłużnika, a w konsekwencji wiedzę na temat ewentualnego ziszczenia się przesłanek do zmiany planu spłaty na korzyść wierzycieli. Jeżeli więc dłużnik zaniecha złożenia sprawozdania, to wierzyciel nie powinien ponosić negatywnych tego konsekwencji, a</w:t>
      </w:r>
      <w:r w:rsidR="00CD269F" w:rsidRPr="009E327C">
        <w:t> </w:t>
      </w:r>
      <w:r w:rsidRPr="009E327C">
        <w:t xml:space="preserve">wobec tego w razie oddalenia wniosku wierzyciela projektowany przepis nakazuje obciążyć kosztami postępowania dłużnika. Z uwagi jednak na złożoność stanów faktycznych wprost wskazano, że sąd w oparciu o art. 102 </w:t>
      </w:r>
      <w:r w:rsidR="00D926CB">
        <w:t>K</w:t>
      </w:r>
      <w:r w:rsidRPr="00D926CB">
        <w:t>odeksu postępowania cywilnego</w:t>
      </w:r>
      <w:r w:rsidRPr="009E327C">
        <w:t xml:space="preserve"> może przyjąć inną zasadę ponoszenia kosztów. </w:t>
      </w:r>
    </w:p>
    <w:p w14:paraId="708A2D0F" w14:textId="77777777" w:rsidR="00382249" w:rsidRPr="009E327C" w:rsidRDefault="00382249" w:rsidP="00136304">
      <w:pPr>
        <w:spacing w:before="120" w:line="360" w:lineRule="auto"/>
        <w:ind w:firstLine="567"/>
        <w:jc w:val="both"/>
      </w:pPr>
      <w:r w:rsidRPr="009E327C">
        <w:t>Projektowany przepis ust. 4a wskazuje, że w razie zmiany planu spłaty wierzycieli stosuje się projektowane przepisy dotyczące treści postanowienia o ustaleniu planu spłaty i</w:t>
      </w:r>
      <w:r w:rsidR="00CD269F" w:rsidRPr="009E327C">
        <w:t> </w:t>
      </w:r>
      <w:r w:rsidRPr="009E327C">
        <w:t>treści obwieszczenia w zakresie dotyczącym terminu i zasad umarzania zobowiązań upadłego.</w:t>
      </w:r>
    </w:p>
    <w:p w14:paraId="7FEF91C1" w14:textId="77777777" w:rsidR="00382249" w:rsidRPr="009E327C" w:rsidRDefault="00382249" w:rsidP="00136304">
      <w:pPr>
        <w:spacing w:before="120" w:line="360" w:lineRule="auto"/>
        <w:ind w:firstLine="567"/>
        <w:jc w:val="both"/>
      </w:pPr>
      <w:r w:rsidRPr="009E327C">
        <w:t>Projektowany przepis ust. 1, 1a, 4 jest konsekwencją przyjęcia zasady, że w</w:t>
      </w:r>
      <w:r w:rsidR="00CD269F" w:rsidRPr="009E327C">
        <w:t> </w:t>
      </w:r>
      <w:r w:rsidRPr="009E327C">
        <w:t xml:space="preserve">sprawach dotyczących oddłużenia skarga kasacyjna nie przysługuje. </w:t>
      </w:r>
    </w:p>
    <w:p w14:paraId="24B79C51" w14:textId="77777777" w:rsidR="00382249" w:rsidRPr="009E327C" w:rsidRDefault="00382249" w:rsidP="00136304">
      <w:pPr>
        <w:spacing w:before="120" w:line="360" w:lineRule="auto"/>
        <w:ind w:firstLine="567"/>
        <w:jc w:val="both"/>
        <w:rPr>
          <w:b/>
          <w:bCs/>
        </w:rPr>
      </w:pPr>
      <w:r w:rsidRPr="009E327C">
        <w:rPr>
          <w:b/>
          <w:bCs/>
        </w:rPr>
        <w:lastRenderedPageBreak/>
        <w:t xml:space="preserve">Art. 1 pkt </w:t>
      </w:r>
      <w:r w:rsidR="00764084" w:rsidRPr="009E327C">
        <w:rPr>
          <w:b/>
          <w:bCs/>
        </w:rPr>
        <w:t>8</w:t>
      </w:r>
      <w:r w:rsidRPr="009E327C">
        <w:rPr>
          <w:b/>
          <w:bCs/>
        </w:rPr>
        <w:t xml:space="preserve"> projektu (zmiana art. 370e Prawa upadłościowego)</w:t>
      </w:r>
    </w:p>
    <w:p w14:paraId="32F48500" w14:textId="77777777" w:rsidR="00382249" w:rsidRPr="009E327C" w:rsidRDefault="00382249" w:rsidP="00136304">
      <w:pPr>
        <w:spacing w:before="120" w:line="360" w:lineRule="auto"/>
        <w:ind w:firstLine="567"/>
        <w:jc w:val="both"/>
      </w:pPr>
      <w:r w:rsidRPr="009E327C">
        <w:t>W projektowanych przepisach zawarto regulację, zgodnie z którą sąd, w razie zaistnienia przesłanki pozytywnej i niewystąpienia przesłanek negatywnych, wydaje postanowienie o uchyleniu planu spłaty wierzycieli na wniosek upadłego lub wierzycieli. Projektowany przepis jest konsekwencją przyjęcia zasady, że sąd z urzędu nie sprawuje nadzoru nad wykonywaniem planu spłaty wierzycieli oraz że samodzielną podstawą uchylenia planu spłaty nie jest niezłożenie przez upadłego rocznego sprawozdania na temat jego sytuacji majątkowej i zawodowej.</w:t>
      </w:r>
    </w:p>
    <w:p w14:paraId="699F25F7" w14:textId="77777777" w:rsidR="00382249" w:rsidRPr="009E327C" w:rsidRDefault="00382249" w:rsidP="00136304">
      <w:pPr>
        <w:spacing w:before="120" w:line="360" w:lineRule="auto"/>
        <w:ind w:firstLine="567"/>
        <w:jc w:val="both"/>
        <w:rPr>
          <w:b/>
          <w:bCs/>
        </w:rPr>
      </w:pPr>
      <w:bookmarkStart w:id="2" w:name="_Hlk211419566"/>
      <w:r w:rsidRPr="009E327C">
        <w:rPr>
          <w:b/>
          <w:bCs/>
        </w:rPr>
        <w:t xml:space="preserve">Art. 1 pkt </w:t>
      </w:r>
      <w:r w:rsidR="00764084" w:rsidRPr="009E327C">
        <w:rPr>
          <w:b/>
          <w:bCs/>
        </w:rPr>
        <w:t>9</w:t>
      </w:r>
      <w:r w:rsidRPr="009E327C">
        <w:rPr>
          <w:b/>
          <w:bCs/>
        </w:rPr>
        <w:t xml:space="preserve"> projektu (zmiana art. 370f Prawa upadłościowego)</w:t>
      </w:r>
    </w:p>
    <w:bookmarkEnd w:id="2"/>
    <w:p w14:paraId="19807430" w14:textId="77777777" w:rsidR="00382249" w:rsidRPr="009E327C" w:rsidRDefault="00382249" w:rsidP="00136304">
      <w:pPr>
        <w:spacing w:before="120" w:line="360" w:lineRule="auto"/>
        <w:ind w:firstLine="567"/>
        <w:jc w:val="both"/>
      </w:pPr>
      <w:r w:rsidRPr="009E327C">
        <w:t>Projektowana zmiana odnosi się do treści obwieszczenia informacji o umorzeniu zobowiązań upadłego. Projektowany przepis jest konsekwencją przyjęcia zasady, że do umorzenia zobowiązań upadłego dochodzi z mocy prawa po upływie trzech miesięcy od zakończenia okresu realizacji planu spłaty wierzycieli, pod warunkiem że plan spłaty wierzycieli nie został przez sąd uchylony lub zmieniony. Celem zwiększenia ochrony prawnej wierzycieli przyjęto rozwiązanie, że umorzenie zobowiązań następuje nie z momentem upływu okresu, na który ustalono plan spłaty wierzycieli, lecz dopiero z upływem trzeciego miesiąca od zakończenia okresu, na który został ustalony plan. Wierzyciele mają więc możliwość wnoszenia do sądu o zmianę lub uchylenie planu spłaty nie tylko w okresie realizacji planu, ale również w ciągu dodatkowych trzech miesięcy od upływu okresu, na który plan ustalono. Jeżeli wniosek o zmianę lub uchylenie planu spłaty zostanie rozpoznany negatywnie, obwieszczenie informacji o umorzeniu zobowiązań upadłego będzie dokonywanie niezwłocznie po uprawomocnieniu się postanowienia lub zarządzenia w</w:t>
      </w:r>
      <w:r w:rsidR="00C82E72" w:rsidRPr="009E327C">
        <w:t> </w:t>
      </w:r>
      <w:r w:rsidRPr="009E327C">
        <w:t>przedmiocie wniosku o zmianę lub uchylenie planu spłaty.</w:t>
      </w:r>
    </w:p>
    <w:p w14:paraId="6FF607C9" w14:textId="77777777" w:rsidR="00382249" w:rsidRPr="009E327C" w:rsidRDefault="00382249" w:rsidP="00136304">
      <w:pPr>
        <w:spacing w:before="120" w:line="360" w:lineRule="auto"/>
        <w:ind w:firstLine="567"/>
        <w:jc w:val="both"/>
      </w:pPr>
      <w:r w:rsidRPr="009E327C">
        <w:t xml:space="preserve">W obwieszczeniu, poza informacją o zakresie umorzonych zobowiązań i danych identyfikujących postanowienie o ustaleniu planu spłaty, wskazuje się także dane indywidualizujące upadłego. Są to: imię i nazwisko oraz numer PESEL upadłego, a jeżeli upadły nie posiada numeru PESEL </w:t>
      </w:r>
      <w:r w:rsidR="00D926CB">
        <w:t xml:space="preserve">– </w:t>
      </w:r>
      <w:r w:rsidR="00A934D7" w:rsidRPr="009E327C">
        <w:t>inne dane umożliwiające jego jednoznaczną identyfikację, w szczególności numer paszportu i oznaczenie państwa wystawiającego paszport albo numer karty pobytu w Rzeczypospolitej Polskiej, albo numer w zagranicznym rejestrze, albo zagraniczny numer identyfikacji lub identyfikacji podatkowej</w:t>
      </w:r>
      <w:r w:rsidRPr="009E327C">
        <w:t>, NIP, jeżeli upadły miał taki numer w ciągu ostatnich dziesięciu lat przed dniem złożenia wniosku o ogłoszenie upadłości. Celem usprawnienia postępowań przyjęto zasadę, że obwieszczenia może dokonać również pracownik sekretariatu lub asystent sędziego.</w:t>
      </w:r>
    </w:p>
    <w:p w14:paraId="4C95AC9E" w14:textId="77777777" w:rsidR="00382249" w:rsidRPr="009E327C" w:rsidRDefault="00382249" w:rsidP="00136304">
      <w:pPr>
        <w:spacing w:before="120" w:line="360" w:lineRule="auto"/>
        <w:ind w:firstLine="567"/>
        <w:jc w:val="both"/>
      </w:pPr>
      <w:r w:rsidRPr="009E327C">
        <w:lastRenderedPageBreak/>
        <w:t xml:space="preserve">Wobec przyjęcia zasady, że umorzenie zobowiązań następuje z mocy prawa, uchylono przepisy odsyłające do zasad zaskarżenia i obwieszczenia postanowienia o stwierdzeniu wykonania planu spłaty wierzycieli i umorzeniu zobowiązań upadłego. </w:t>
      </w:r>
    </w:p>
    <w:p w14:paraId="250C1A51" w14:textId="77777777" w:rsidR="00382249" w:rsidRPr="009E327C" w:rsidRDefault="00382249" w:rsidP="00136304">
      <w:pPr>
        <w:spacing w:before="120" w:line="360" w:lineRule="auto"/>
        <w:ind w:firstLine="567"/>
        <w:jc w:val="both"/>
      </w:pPr>
      <w:r w:rsidRPr="009E327C">
        <w:t>Projektowany przepis utrzymuje dotychczasową zasadę, że niedopuszczalne jest wszczęcie postępowań egzekucyjnych dotyczących zobowiązań upadłego nie tylko w czasie trwania postępowania upadłościowego (art. 146</w:t>
      </w:r>
      <w:r w:rsidR="00F72309" w:rsidRPr="009E327C">
        <w:t xml:space="preserve"> </w:t>
      </w:r>
      <w:r w:rsidR="000226FA" w:rsidRPr="009E327C">
        <w:t>P.U.</w:t>
      </w:r>
      <w:r w:rsidRPr="009E327C">
        <w:t xml:space="preserve">), ale także w trakcie wykonywania planu spłaty wierzycieli oraz po umorzeniu zobowiązań upadłego. Wymagało doprecyzowania, że egzekucja tym bardziej jest niedopuszczalna w okresie pomiędzy upływem terminu końcowego, na który ustalono plan spłaty wierzycieli, a umorzeniem zobowiązań wskutek upływu trzech miesięcy od upływu okresu, na który ustalono plan spłaty wierzycieli. </w:t>
      </w:r>
    </w:p>
    <w:p w14:paraId="5C5A6500" w14:textId="77777777" w:rsidR="00D942FB" w:rsidRPr="009E327C" w:rsidRDefault="00D942FB" w:rsidP="00136304">
      <w:pPr>
        <w:spacing w:before="120" w:line="360" w:lineRule="auto"/>
        <w:ind w:firstLine="567"/>
        <w:jc w:val="both"/>
        <w:rPr>
          <w:b/>
          <w:bCs/>
        </w:rPr>
      </w:pPr>
      <w:r w:rsidRPr="009E327C">
        <w:rPr>
          <w:b/>
          <w:bCs/>
        </w:rPr>
        <w:t>Art. 1 pkt 1</w:t>
      </w:r>
      <w:r w:rsidR="00764084" w:rsidRPr="009E327C">
        <w:rPr>
          <w:b/>
          <w:bCs/>
        </w:rPr>
        <w:t>0</w:t>
      </w:r>
      <w:r w:rsidRPr="009E327C">
        <w:rPr>
          <w:b/>
          <w:bCs/>
        </w:rPr>
        <w:t xml:space="preserve"> projektu (zmiana art. 491</w:t>
      </w:r>
      <w:r w:rsidR="000226FA" w:rsidRPr="009E327C">
        <w:rPr>
          <w:b/>
          <w:bCs/>
          <w:vertAlign w:val="superscript"/>
        </w:rPr>
        <w:t>1</w:t>
      </w:r>
      <w:r w:rsidRPr="009E327C">
        <w:rPr>
          <w:b/>
          <w:bCs/>
        </w:rPr>
        <w:t xml:space="preserve"> ust. 1 Prawa Upadłościowego)</w:t>
      </w:r>
    </w:p>
    <w:p w14:paraId="12E18718" w14:textId="77777777" w:rsidR="00D942FB" w:rsidRPr="009E327C" w:rsidRDefault="00D942FB" w:rsidP="00136304">
      <w:pPr>
        <w:spacing w:before="120" w:line="360" w:lineRule="auto"/>
        <w:ind w:firstLine="567"/>
        <w:jc w:val="both"/>
      </w:pPr>
      <w:r w:rsidRPr="009E327C">
        <w:t>Zmiana wskazuje, że w postępowaniu upadłościowym prowadzonym wobec osób fizycznych nieprowadzących działalności gospodarczej, prowadzon</w:t>
      </w:r>
      <w:r w:rsidR="00ED63E2" w:rsidRPr="009E327C">
        <w:t>ym</w:t>
      </w:r>
      <w:r w:rsidRPr="009E327C">
        <w:t xml:space="preserve"> w </w:t>
      </w:r>
      <w:r w:rsidR="00ED63E2" w:rsidRPr="009E327C">
        <w:t xml:space="preserve">trybie </w:t>
      </w:r>
      <w:r w:rsidR="008D2A0E" w:rsidRPr="009E327C">
        <w:t>komisarskim</w:t>
      </w:r>
      <w:r w:rsidR="008D2A0E" w:rsidRPr="009E327C" w:rsidDel="00ED63E2">
        <w:t>,</w:t>
      </w:r>
      <w:r w:rsidRPr="009E327C">
        <w:t xml:space="preserve"> tj. na podstawie art. 491</w:t>
      </w:r>
      <w:r w:rsidRPr="009E327C">
        <w:rPr>
          <w:vertAlign w:val="superscript"/>
        </w:rPr>
        <w:t>1</w:t>
      </w:r>
      <w:r w:rsidRPr="009E327C">
        <w:t xml:space="preserve"> ust. 2</w:t>
      </w:r>
      <w:r w:rsidR="00D926CB">
        <w:t>,</w:t>
      </w:r>
      <w:r w:rsidRPr="009E327C">
        <w:t xml:space="preserve"> stosuje się również przepisy</w:t>
      </w:r>
      <w:r w:rsidR="008D2A0E" w:rsidRPr="009E327C">
        <w:t xml:space="preserve"> art. 491</w:t>
      </w:r>
      <w:r w:rsidR="008D2A0E" w:rsidRPr="009E327C">
        <w:rPr>
          <w:vertAlign w:val="superscript"/>
        </w:rPr>
        <w:t>7</w:t>
      </w:r>
      <w:r w:rsidR="008D2A0E" w:rsidRPr="009E327C">
        <w:t>, art. 491</w:t>
      </w:r>
      <w:r w:rsidR="008D2A0E" w:rsidRPr="009E327C">
        <w:rPr>
          <w:vertAlign w:val="superscript"/>
        </w:rPr>
        <w:t>8</w:t>
      </w:r>
      <w:r w:rsidR="008D2A0E" w:rsidRPr="009E327C">
        <w:t>, art. 491</w:t>
      </w:r>
      <w:r w:rsidR="008D2A0E" w:rsidRPr="009E327C">
        <w:rPr>
          <w:vertAlign w:val="superscript"/>
        </w:rPr>
        <w:t>9</w:t>
      </w:r>
      <w:r w:rsidR="008D2A0E" w:rsidRPr="009E327C">
        <w:t xml:space="preserve"> i art.</w:t>
      </w:r>
      <w:r w:rsidR="00D926CB">
        <w:t> </w:t>
      </w:r>
      <w:r w:rsidR="008D2A0E" w:rsidRPr="009E327C">
        <w:t>491</w:t>
      </w:r>
      <w:r w:rsidR="008D2A0E" w:rsidRPr="009E327C">
        <w:rPr>
          <w:vertAlign w:val="superscript"/>
        </w:rPr>
        <w:t xml:space="preserve">10 </w:t>
      </w:r>
      <w:r w:rsidR="008D2A0E" w:rsidRPr="009E327C">
        <w:t>P.U.</w:t>
      </w:r>
    </w:p>
    <w:p w14:paraId="7108723E" w14:textId="77777777" w:rsidR="00B40C75" w:rsidRPr="009E327C" w:rsidRDefault="00B40C75" w:rsidP="00136304">
      <w:pPr>
        <w:spacing w:before="120" w:line="360" w:lineRule="auto"/>
        <w:ind w:firstLine="567"/>
        <w:jc w:val="both"/>
        <w:rPr>
          <w:b/>
          <w:bCs/>
        </w:rPr>
      </w:pPr>
      <w:r w:rsidRPr="009E327C">
        <w:rPr>
          <w:b/>
          <w:bCs/>
        </w:rPr>
        <w:t>Art. 1 pkt 1</w:t>
      </w:r>
      <w:r w:rsidR="00764084" w:rsidRPr="009E327C">
        <w:rPr>
          <w:b/>
          <w:bCs/>
        </w:rPr>
        <w:t>2</w:t>
      </w:r>
      <w:r w:rsidRPr="009E327C">
        <w:rPr>
          <w:b/>
          <w:bCs/>
        </w:rPr>
        <w:t xml:space="preserve"> projektu (zmiana art. 491</w:t>
      </w:r>
      <w:r w:rsidR="00ED63E2" w:rsidRPr="009E327C">
        <w:rPr>
          <w:b/>
          <w:bCs/>
          <w:vertAlign w:val="superscript"/>
        </w:rPr>
        <w:t>3</w:t>
      </w:r>
      <w:r w:rsidRPr="009E327C">
        <w:rPr>
          <w:b/>
          <w:bCs/>
        </w:rPr>
        <w:t xml:space="preserve"> Prawa Upadłościowego)</w:t>
      </w:r>
    </w:p>
    <w:p w14:paraId="6C139C26" w14:textId="77777777" w:rsidR="00B40C75" w:rsidRPr="009E327C" w:rsidRDefault="00B40C75" w:rsidP="00136304">
      <w:pPr>
        <w:spacing w:before="120" w:line="360" w:lineRule="auto"/>
        <w:ind w:firstLine="567"/>
        <w:jc w:val="both"/>
      </w:pPr>
      <w:r w:rsidRPr="009E327C">
        <w:t>Przepis wprowadza ogólną zasadę, że w postępowanie upadłościowym prowadzonym wobec osób fizycznych nieprowadzących działalności gospodarczej, w przedmiocie wynagrodzenia syndyka orzeka sąd upadłości w składzie jednego sędziego zawodowego.</w:t>
      </w:r>
    </w:p>
    <w:p w14:paraId="475A3FBC" w14:textId="77777777" w:rsidR="00382249" w:rsidRPr="009E327C" w:rsidRDefault="00382249" w:rsidP="00136304">
      <w:pPr>
        <w:spacing w:before="120" w:line="360" w:lineRule="auto"/>
        <w:ind w:firstLine="567"/>
        <w:jc w:val="both"/>
        <w:rPr>
          <w:b/>
          <w:bCs/>
        </w:rPr>
      </w:pPr>
      <w:r w:rsidRPr="009E327C">
        <w:rPr>
          <w:b/>
          <w:bCs/>
        </w:rPr>
        <w:t xml:space="preserve">Art. 1 pkt </w:t>
      </w:r>
      <w:r w:rsidR="00371678" w:rsidRPr="009E327C">
        <w:rPr>
          <w:b/>
          <w:bCs/>
        </w:rPr>
        <w:t>1</w:t>
      </w:r>
      <w:r w:rsidR="00764084" w:rsidRPr="009E327C">
        <w:rPr>
          <w:b/>
          <w:bCs/>
        </w:rPr>
        <w:t>3</w:t>
      </w:r>
      <w:r w:rsidRPr="009E327C">
        <w:rPr>
          <w:b/>
          <w:bCs/>
        </w:rPr>
        <w:t xml:space="preserve"> projektu (zmiana art. 491</w:t>
      </w:r>
      <w:r w:rsidR="00ED63E2" w:rsidRPr="009E327C">
        <w:rPr>
          <w:b/>
          <w:bCs/>
          <w:vertAlign w:val="superscript"/>
        </w:rPr>
        <w:t>7</w:t>
      </w:r>
      <w:r w:rsidR="00ED63E2" w:rsidRPr="009E327C">
        <w:rPr>
          <w:b/>
          <w:bCs/>
        </w:rPr>
        <w:t xml:space="preserve"> </w:t>
      </w:r>
      <w:r w:rsidRPr="009E327C">
        <w:rPr>
          <w:b/>
          <w:bCs/>
        </w:rPr>
        <w:t>Prawa upadłościowego)</w:t>
      </w:r>
    </w:p>
    <w:p w14:paraId="6C4BF8B8" w14:textId="77777777" w:rsidR="001D5901" w:rsidRPr="009E327C" w:rsidRDefault="00382249" w:rsidP="00136304">
      <w:pPr>
        <w:spacing w:before="120" w:line="360" w:lineRule="auto"/>
        <w:ind w:firstLine="567"/>
        <w:jc w:val="both"/>
      </w:pPr>
      <w:r w:rsidRPr="009E327C">
        <w:t xml:space="preserve">Przedmiotowa zmiana </w:t>
      </w:r>
      <w:r w:rsidR="001D5901" w:rsidRPr="009E327C">
        <w:t>określa, że zryczałtowane koszty postępowania, prowadzonego wobec osób fizycznych nieprowadzących działalności gospodarczej, inne niż wynagrodzenie syndyka wynoszą niewięcej niż 1/5 przeciętnego miesięcznego wynagrodzenia w sektorze przedsiębiorstw bez wypłat nagród z zysku w trzecim kwartale roku poprzedniego, ogłoszonego przez Prezesa Głównego Urzędu Statystycznego. Powyższa kwota została ustalona na podstawie badań aktowych, opisanych w raporcie opracowanym na zlecenie Instytutu Wymiaru Sprawiedliwości przez dr hab. Annę Hrycaj pt. „Koszty postępowania upadłościowego osoby fizycznej nieprowadzącej działalności gospodarczej prowadzonego w trybie określonym w art. 491 (1) ust. 1 Prawa upadłościowego (tzw. uproszczone postępowanie konsumenckie), Warszawa 2025 r., s. 25</w:t>
      </w:r>
      <w:r w:rsidR="002048F8">
        <w:t>–</w:t>
      </w:r>
      <w:r w:rsidR="001D5901" w:rsidRPr="009E327C">
        <w:t>26.</w:t>
      </w:r>
    </w:p>
    <w:p w14:paraId="39919A7D" w14:textId="77777777" w:rsidR="00382249" w:rsidRPr="009E327C" w:rsidRDefault="00735ABF" w:rsidP="00136304">
      <w:pPr>
        <w:spacing w:before="120" w:line="360" w:lineRule="auto"/>
        <w:ind w:firstLine="567"/>
        <w:jc w:val="both"/>
      </w:pPr>
      <w:r w:rsidRPr="009E327C">
        <w:lastRenderedPageBreak/>
        <w:t>Sąd w postanowieniu o ogłoszeniu upadłości przyznaje syndykowi zaliczkę na pokrycie tych kosztów, chyba że majątek upadłego pozwala na bieżące pokrywanie kosztów postępowania. W dalszym toku postępowania sąd może ustalić, że koszty postępowania mogą przekroczyć wysokość kosztów zryczałtowanych i przyznać syndykowi wyższą zaliczkę na ich pokrycie oraz zarządzić jej niezwłoczną wypłatę tymczasowo ze środków Skarbu Państwa tylko wówczas</w:t>
      </w:r>
      <w:r w:rsidR="00C74988">
        <w:t>,</w:t>
      </w:r>
      <w:r w:rsidRPr="009E327C">
        <w:t xml:space="preserve"> gdy zwiększone koszty postępowania wynikają ze znacznego rozmiaru masy upadłości, w szczególności, gdy w skład masy upadłości wchodzi nieruchomość, lub z konieczności dochodzenia przekazania do masy upadłości tego, co wskutek czynności dłużnika bezskutecznych wobec masy upadłości lub wierzycieli ubyło z majątku upadłego lub do niego nie weszło. </w:t>
      </w:r>
    </w:p>
    <w:p w14:paraId="21E079C4" w14:textId="77777777" w:rsidR="00382249" w:rsidRPr="009E327C" w:rsidRDefault="00382249" w:rsidP="00136304">
      <w:pPr>
        <w:spacing w:before="120" w:line="360" w:lineRule="auto"/>
        <w:ind w:firstLine="567"/>
        <w:jc w:val="both"/>
        <w:rPr>
          <w:b/>
          <w:bCs/>
        </w:rPr>
      </w:pPr>
      <w:r w:rsidRPr="009E327C">
        <w:rPr>
          <w:b/>
          <w:bCs/>
        </w:rPr>
        <w:t xml:space="preserve">Art. 1 pkt </w:t>
      </w:r>
      <w:r w:rsidR="00371678" w:rsidRPr="009E327C">
        <w:rPr>
          <w:b/>
          <w:bCs/>
        </w:rPr>
        <w:t>1</w:t>
      </w:r>
      <w:r w:rsidR="00764084" w:rsidRPr="009E327C">
        <w:rPr>
          <w:b/>
          <w:bCs/>
        </w:rPr>
        <w:t>4</w:t>
      </w:r>
      <w:r w:rsidRPr="009E327C">
        <w:rPr>
          <w:b/>
          <w:bCs/>
        </w:rPr>
        <w:t xml:space="preserve"> projektu (zmiana art. 491</w:t>
      </w:r>
      <w:r w:rsidR="00ED63E2" w:rsidRPr="009E327C">
        <w:rPr>
          <w:b/>
          <w:bCs/>
          <w:vertAlign w:val="superscript"/>
        </w:rPr>
        <w:t>9</w:t>
      </w:r>
      <w:r w:rsidR="00ED63E2" w:rsidRPr="009E327C">
        <w:rPr>
          <w:b/>
          <w:bCs/>
        </w:rPr>
        <w:t xml:space="preserve"> </w:t>
      </w:r>
      <w:r w:rsidRPr="009E327C">
        <w:rPr>
          <w:b/>
          <w:bCs/>
        </w:rPr>
        <w:t>Prawa upadłościowego)</w:t>
      </w:r>
    </w:p>
    <w:p w14:paraId="3BAC0B33" w14:textId="77777777" w:rsidR="00382249" w:rsidRPr="009E327C" w:rsidRDefault="00382249" w:rsidP="00136304">
      <w:pPr>
        <w:pStyle w:val="USTustnpkodeksu"/>
        <w:spacing w:before="120"/>
        <w:ind w:firstLine="567"/>
        <w:rPr>
          <w:rFonts w:ascii="Times New Roman" w:hAnsi="Times New Roman" w:cs="Times New Roman"/>
          <w:szCs w:val="24"/>
        </w:rPr>
      </w:pPr>
      <w:r w:rsidRPr="009E327C">
        <w:rPr>
          <w:rFonts w:ascii="Times New Roman" w:hAnsi="Times New Roman" w:cs="Times New Roman"/>
          <w:szCs w:val="24"/>
        </w:rPr>
        <w:t>Przepisy art. 491</w:t>
      </w:r>
      <w:r w:rsidRPr="009E327C">
        <w:rPr>
          <w:rStyle w:val="IGindeksgrny"/>
          <w:rFonts w:ascii="Times New Roman" w:hAnsi="Times New Roman" w:cs="Times New Roman"/>
          <w:szCs w:val="24"/>
        </w:rPr>
        <w:t xml:space="preserve">9 </w:t>
      </w:r>
      <w:r w:rsidR="00ED63E2" w:rsidRPr="00136304">
        <w:rPr>
          <w:rFonts w:ascii="Times New Roman" w:hAnsi="Times New Roman" w:cs="Times New Roman"/>
          <w:szCs w:val="24"/>
        </w:rPr>
        <w:t>P.U.</w:t>
      </w:r>
      <w:r w:rsidRPr="00136304">
        <w:rPr>
          <w:rFonts w:ascii="Times New Roman" w:hAnsi="Times New Roman" w:cs="Times New Roman"/>
          <w:szCs w:val="24"/>
        </w:rPr>
        <w:t xml:space="preserve"> regulują kwestie związane z wynagrodzeniem syndyka w</w:t>
      </w:r>
      <w:r w:rsidR="00CD269F" w:rsidRPr="00136304">
        <w:rPr>
          <w:rFonts w:ascii="Times New Roman" w:hAnsi="Times New Roman" w:cs="Times New Roman"/>
          <w:szCs w:val="24"/>
        </w:rPr>
        <w:t> </w:t>
      </w:r>
      <w:r w:rsidRPr="009E327C">
        <w:rPr>
          <w:rFonts w:ascii="Times New Roman" w:hAnsi="Times New Roman" w:cs="Times New Roman"/>
          <w:szCs w:val="24"/>
        </w:rPr>
        <w:t>postępowaniu upadłościowym wobec osób fizycznych nieprowadzących działalności gospodarczej. Zmiana art. 491</w:t>
      </w:r>
      <w:r w:rsidRPr="009E327C">
        <w:rPr>
          <w:rStyle w:val="IGindeksgrny"/>
          <w:rFonts w:ascii="Times New Roman" w:hAnsi="Times New Roman" w:cs="Times New Roman"/>
          <w:szCs w:val="24"/>
        </w:rPr>
        <w:t>9</w:t>
      </w:r>
      <w:r w:rsidR="00E14660" w:rsidRPr="009E327C">
        <w:rPr>
          <w:rStyle w:val="IGindeksgrny"/>
          <w:rFonts w:ascii="Times New Roman" w:hAnsi="Times New Roman" w:cs="Times New Roman"/>
          <w:szCs w:val="24"/>
        </w:rPr>
        <w:t xml:space="preserve"> </w:t>
      </w:r>
      <w:r w:rsidR="00ED63E2" w:rsidRPr="009E327C">
        <w:rPr>
          <w:rStyle w:val="IGindeksgrny"/>
          <w:rFonts w:ascii="Times New Roman" w:hAnsi="Times New Roman" w:cs="Times New Roman"/>
          <w:szCs w:val="24"/>
          <w:vertAlign w:val="baseline"/>
        </w:rPr>
        <w:t>P.U.</w:t>
      </w:r>
      <w:r w:rsidR="00E14660" w:rsidRPr="00136304">
        <w:rPr>
          <w:rFonts w:ascii="Times New Roman" w:hAnsi="Times New Roman" w:cs="Times New Roman"/>
          <w:szCs w:val="24"/>
        </w:rPr>
        <w:t xml:space="preserve"> </w:t>
      </w:r>
      <w:r w:rsidRPr="009E327C">
        <w:rPr>
          <w:rFonts w:ascii="Times New Roman" w:hAnsi="Times New Roman" w:cs="Times New Roman"/>
          <w:szCs w:val="24"/>
        </w:rPr>
        <w:t xml:space="preserve">sprowadza się do podniesienia efektywności postępowania poprzez wykluczenie opłacalności zbędnego wydłużania postępowania. Innymi słowy, co do zasady zbyt długie prowadzenie postępowania powinno być nieopłacalne dla osób pełniących funkcję syndyka. System powinien promować osoby, które prowadzą sprawnie postępowania, a nie sztucznie wydłużają czas jego trwania. </w:t>
      </w:r>
    </w:p>
    <w:p w14:paraId="523689CE" w14:textId="77777777" w:rsidR="00382249" w:rsidRPr="009E327C" w:rsidRDefault="00382249" w:rsidP="00136304">
      <w:pPr>
        <w:pStyle w:val="USTustnpkodeksu"/>
        <w:spacing w:before="120"/>
        <w:ind w:firstLine="567"/>
        <w:rPr>
          <w:rFonts w:ascii="Times New Roman" w:hAnsi="Times New Roman" w:cs="Times New Roman"/>
          <w:szCs w:val="24"/>
        </w:rPr>
      </w:pPr>
      <w:r w:rsidRPr="009E327C">
        <w:rPr>
          <w:rFonts w:ascii="Times New Roman" w:hAnsi="Times New Roman" w:cs="Times New Roman"/>
          <w:szCs w:val="24"/>
        </w:rPr>
        <w:t>Dlatego</w:t>
      </w:r>
      <w:r w:rsidR="00C74988">
        <w:rPr>
          <w:rFonts w:ascii="Times New Roman" w:hAnsi="Times New Roman" w:cs="Times New Roman"/>
          <w:szCs w:val="24"/>
        </w:rPr>
        <w:t>,</w:t>
      </w:r>
      <w:r w:rsidRPr="009E327C">
        <w:rPr>
          <w:rFonts w:ascii="Times New Roman" w:hAnsi="Times New Roman" w:cs="Times New Roman"/>
          <w:szCs w:val="24"/>
        </w:rPr>
        <w:t xml:space="preserve"> co do zasady</w:t>
      </w:r>
      <w:r w:rsidR="00C74988">
        <w:rPr>
          <w:rFonts w:ascii="Times New Roman" w:hAnsi="Times New Roman" w:cs="Times New Roman"/>
          <w:szCs w:val="24"/>
        </w:rPr>
        <w:t>,</w:t>
      </w:r>
      <w:r w:rsidRPr="009E327C">
        <w:rPr>
          <w:rFonts w:ascii="Times New Roman" w:hAnsi="Times New Roman" w:cs="Times New Roman"/>
          <w:szCs w:val="24"/>
        </w:rPr>
        <w:t xml:space="preserve"> wynagrodzenie syndyka w postępowaniu upadłościowym wobec osób fizycznych nieprowadzących działalności gospodarczej wynosi równowartość jednego przeciętnego miesięcznego wynagrodzenia w sektorze przedsiębiorstw bez wypłat nagród z</w:t>
      </w:r>
      <w:r w:rsidR="00CD269F" w:rsidRPr="009E327C">
        <w:rPr>
          <w:rFonts w:ascii="Times New Roman" w:hAnsi="Times New Roman" w:cs="Times New Roman"/>
          <w:szCs w:val="24"/>
        </w:rPr>
        <w:t> </w:t>
      </w:r>
      <w:r w:rsidRPr="009E327C">
        <w:rPr>
          <w:rFonts w:ascii="Times New Roman" w:hAnsi="Times New Roman" w:cs="Times New Roman"/>
          <w:szCs w:val="24"/>
        </w:rPr>
        <w:t>zysku w trzecim kwartale roku poprzedniego, ogłoszonego przez Prezesa Głównego Urzędu Statystycznego (art. 491</w:t>
      </w:r>
      <w:r w:rsidR="00371678" w:rsidRPr="00136304">
        <w:rPr>
          <w:rFonts w:ascii="Times New Roman" w:hAnsi="Times New Roman" w:cs="Times New Roman"/>
          <w:szCs w:val="24"/>
          <w:vertAlign w:val="superscript"/>
        </w:rPr>
        <w:t>9</w:t>
      </w:r>
      <w:r w:rsidRPr="00136304">
        <w:rPr>
          <w:rFonts w:ascii="Times New Roman" w:hAnsi="Times New Roman" w:cs="Times New Roman"/>
          <w:szCs w:val="24"/>
        </w:rPr>
        <w:t xml:space="preserve"> </w:t>
      </w:r>
      <w:r w:rsidRPr="009E327C">
        <w:rPr>
          <w:rFonts w:ascii="Times New Roman" w:hAnsi="Times New Roman" w:cs="Times New Roman"/>
          <w:szCs w:val="24"/>
        </w:rPr>
        <w:t xml:space="preserve">ust. </w:t>
      </w:r>
      <w:r w:rsidR="00E14660" w:rsidRPr="009E327C">
        <w:rPr>
          <w:rFonts w:ascii="Times New Roman" w:hAnsi="Times New Roman" w:cs="Times New Roman"/>
          <w:szCs w:val="24"/>
        </w:rPr>
        <w:t>2</w:t>
      </w:r>
      <w:r w:rsidRPr="009E327C">
        <w:rPr>
          <w:rFonts w:ascii="Times New Roman" w:hAnsi="Times New Roman" w:cs="Times New Roman"/>
          <w:szCs w:val="24"/>
        </w:rPr>
        <w:t xml:space="preserve"> </w:t>
      </w:r>
      <w:r w:rsidR="00C8258C" w:rsidRPr="009E327C">
        <w:rPr>
          <w:rFonts w:ascii="Times New Roman" w:hAnsi="Times New Roman" w:cs="Times New Roman"/>
          <w:szCs w:val="24"/>
        </w:rPr>
        <w:t>P</w:t>
      </w:r>
      <w:r w:rsidRPr="009E327C">
        <w:rPr>
          <w:rFonts w:ascii="Times New Roman" w:hAnsi="Times New Roman" w:cs="Times New Roman"/>
          <w:szCs w:val="24"/>
        </w:rPr>
        <w:t>.</w:t>
      </w:r>
      <w:r w:rsidR="00C8258C" w:rsidRPr="009E327C">
        <w:rPr>
          <w:rFonts w:ascii="Times New Roman" w:hAnsi="Times New Roman" w:cs="Times New Roman"/>
          <w:szCs w:val="24"/>
        </w:rPr>
        <w:t>U.</w:t>
      </w:r>
      <w:r w:rsidRPr="009E327C">
        <w:rPr>
          <w:rFonts w:ascii="Times New Roman" w:hAnsi="Times New Roman" w:cs="Times New Roman"/>
          <w:szCs w:val="24"/>
        </w:rPr>
        <w:t>).</w:t>
      </w:r>
    </w:p>
    <w:p w14:paraId="11517B5B" w14:textId="77777777" w:rsidR="00E14660" w:rsidRPr="00136304" w:rsidRDefault="00497083" w:rsidP="00136304">
      <w:pPr>
        <w:pStyle w:val="USTustnpkodeksu"/>
        <w:spacing w:before="120"/>
        <w:ind w:firstLine="567"/>
        <w:rPr>
          <w:rFonts w:ascii="Times New Roman" w:hAnsi="Times New Roman" w:cs="Times New Roman"/>
          <w:bCs w:val="0"/>
          <w:szCs w:val="24"/>
        </w:rPr>
      </w:pPr>
      <w:r w:rsidRPr="00136304">
        <w:rPr>
          <w:rFonts w:ascii="Times New Roman" w:hAnsi="Times New Roman" w:cs="Times New Roman"/>
          <w:bCs w:val="0"/>
          <w:szCs w:val="24"/>
        </w:rPr>
        <w:t xml:space="preserve">Uwzględniając okoliczność, że konsumenckie postępowania upadłościowe może zarówno wiązać się z większym </w:t>
      </w:r>
      <w:r w:rsidR="00530E01" w:rsidRPr="00136304">
        <w:rPr>
          <w:rFonts w:ascii="Times New Roman" w:hAnsi="Times New Roman" w:cs="Times New Roman"/>
          <w:bCs w:val="0"/>
          <w:szCs w:val="24"/>
        </w:rPr>
        <w:t xml:space="preserve">lub mniejszym </w:t>
      </w:r>
      <w:r w:rsidRPr="00136304">
        <w:rPr>
          <w:rFonts w:ascii="Times New Roman" w:hAnsi="Times New Roman" w:cs="Times New Roman"/>
          <w:bCs w:val="0"/>
          <w:szCs w:val="24"/>
        </w:rPr>
        <w:t>nakładem pracy syndyka</w:t>
      </w:r>
      <w:r w:rsidR="00530E01" w:rsidRPr="00136304">
        <w:rPr>
          <w:rFonts w:ascii="Times New Roman" w:hAnsi="Times New Roman" w:cs="Times New Roman"/>
          <w:bCs w:val="0"/>
          <w:szCs w:val="24"/>
        </w:rPr>
        <w:t xml:space="preserve"> niż </w:t>
      </w:r>
      <w:r w:rsidR="00C74988">
        <w:rPr>
          <w:rFonts w:ascii="Times New Roman" w:hAnsi="Times New Roman" w:cs="Times New Roman"/>
          <w:bCs w:val="0"/>
          <w:szCs w:val="24"/>
        </w:rPr>
        <w:t xml:space="preserve">w </w:t>
      </w:r>
      <w:r w:rsidR="00530E01" w:rsidRPr="00136304">
        <w:rPr>
          <w:rFonts w:ascii="Times New Roman" w:hAnsi="Times New Roman" w:cs="Times New Roman"/>
          <w:bCs w:val="0"/>
          <w:szCs w:val="24"/>
        </w:rPr>
        <w:t>przypadku standardowo prowadzonego postępowania upadłościowego wobec osób fizycznych, nieprowadzących działalności gospodarczej</w:t>
      </w:r>
      <w:r w:rsidR="00C74988">
        <w:rPr>
          <w:rFonts w:ascii="Times New Roman" w:hAnsi="Times New Roman" w:cs="Times New Roman"/>
          <w:bCs w:val="0"/>
          <w:szCs w:val="24"/>
        </w:rPr>
        <w:t xml:space="preserve">, </w:t>
      </w:r>
      <w:r w:rsidR="00530E01" w:rsidRPr="00136304">
        <w:rPr>
          <w:rFonts w:ascii="Times New Roman" w:hAnsi="Times New Roman" w:cs="Times New Roman"/>
          <w:bCs w:val="0"/>
          <w:szCs w:val="24"/>
        </w:rPr>
        <w:t>wprowadzono dwa wyjątki od ww. zasady ustaleni</w:t>
      </w:r>
      <w:r w:rsidR="00925920">
        <w:rPr>
          <w:rFonts w:ascii="Times New Roman" w:hAnsi="Times New Roman" w:cs="Times New Roman"/>
          <w:bCs w:val="0"/>
          <w:szCs w:val="24"/>
        </w:rPr>
        <w:t>a</w:t>
      </w:r>
      <w:r w:rsidR="00530E01" w:rsidRPr="00136304">
        <w:rPr>
          <w:rFonts w:ascii="Times New Roman" w:hAnsi="Times New Roman" w:cs="Times New Roman"/>
          <w:bCs w:val="0"/>
          <w:szCs w:val="24"/>
        </w:rPr>
        <w:t xml:space="preserve"> wynagrodzenia syndyka. </w:t>
      </w:r>
      <w:r w:rsidR="002615D2" w:rsidRPr="00136304">
        <w:rPr>
          <w:rFonts w:ascii="Times New Roman" w:hAnsi="Times New Roman" w:cs="Times New Roman"/>
          <w:bCs w:val="0"/>
          <w:szCs w:val="24"/>
        </w:rPr>
        <w:t>Po pierwsze</w:t>
      </w:r>
      <w:r w:rsidR="00C74988">
        <w:rPr>
          <w:rFonts w:ascii="Times New Roman" w:hAnsi="Times New Roman" w:cs="Times New Roman"/>
          <w:bCs w:val="0"/>
          <w:szCs w:val="24"/>
        </w:rPr>
        <w:t>,</w:t>
      </w:r>
      <w:r w:rsidR="002615D2" w:rsidRPr="00136304">
        <w:rPr>
          <w:rFonts w:ascii="Times New Roman" w:hAnsi="Times New Roman" w:cs="Times New Roman"/>
          <w:bCs w:val="0"/>
          <w:szCs w:val="24"/>
        </w:rPr>
        <w:t xml:space="preserve"> w przypadku gdy wysokość wynagrodzenia syndyka byłaby rażąco wygórowana w stosunku do nakładu jego pracy, wynikającego z przebiegu prowadzonego postępowania, w szczególności w razie umorzenia postępowania na wczesnym etapie, sąd w orzeczeniu kończącym postępowanie w</w:t>
      </w:r>
      <w:r w:rsidR="004F71F0" w:rsidRPr="00136304">
        <w:rPr>
          <w:rFonts w:ascii="Times New Roman" w:hAnsi="Times New Roman" w:cs="Times New Roman"/>
          <w:bCs w:val="0"/>
          <w:szCs w:val="24"/>
        </w:rPr>
        <w:t> </w:t>
      </w:r>
      <w:r w:rsidR="002615D2" w:rsidRPr="00136304">
        <w:rPr>
          <w:rFonts w:ascii="Times New Roman" w:hAnsi="Times New Roman" w:cs="Times New Roman"/>
          <w:bCs w:val="0"/>
          <w:szCs w:val="24"/>
        </w:rPr>
        <w:t>sprawie może z urzędu obniżyć wynagrodzenie do wysokości nieniższej niż jedna czwarta</w:t>
      </w:r>
      <w:r w:rsidR="00E14660" w:rsidRPr="00136304">
        <w:rPr>
          <w:rFonts w:ascii="Times New Roman" w:hAnsi="Times New Roman" w:cs="Times New Roman"/>
          <w:bCs w:val="0"/>
          <w:szCs w:val="24"/>
        </w:rPr>
        <w:t xml:space="preserve"> (art. 491</w:t>
      </w:r>
      <w:r w:rsidR="00E14660" w:rsidRPr="00136304">
        <w:rPr>
          <w:rFonts w:ascii="Times New Roman" w:hAnsi="Times New Roman" w:cs="Times New Roman"/>
          <w:bCs w:val="0"/>
          <w:szCs w:val="24"/>
          <w:vertAlign w:val="superscript"/>
        </w:rPr>
        <w:t xml:space="preserve">9 </w:t>
      </w:r>
      <w:r w:rsidR="00E14660" w:rsidRPr="00136304">
        <w:rPr>
          <w:rFonts w:ascii="Times New Roman" w:hAnsi="Times New Roman" w:cs="Times New Roman"/>
          <w:bCs w:val="0"/>
          <w:szCs w:val="24"/>
        </w:rPr>
        <w:t>ust. 3 P.U.)</w:t>
      </w:r>
      <w:r w:rsidR="002615D2" w:rsidRPr="00136304">
        <w:rPr>
          <w:rFonts w:ascii="Times New Roman" w:hAnsi="Times New Roman" w:cs="Times New Roman"/>
          <w:bCs w:val="0"/>
          <w:szCs w:val="24"/>
        </w:rPr>
        <w:t>.</w:t>
      </w:r>
    </w:p>
    <w:p w14:paraId="7DF60B86" w14:textId="77777777" w:rsidR="002615D2" w:rsidRPr="00136304" w:rsidRDefault="0029240D" w:rsidP="00136304">
      <w:pPr>
        <w:pStyle w:val="USTustnpkodeksu"/>
        <w:spacing w:before="120"/>
        <w:ind w:firstLine="567"/>
        <w:rPr>
          <w:rFonts w:ascii="Times New Roman" w:hAnsi="Times New Roman" w:cs="Times New Roman"/>
          <w:bCs w:val="0"/>
          <w:szCs w:val="24"/>
        </w:rPr>
      </w:pPr>
      <w:r w:rsidRPr="00136304">
        <w:rPr>
          <w:rFonts w:ascii="Times New Roman" w:hAnsi="Times New Roman" w:cs="Times New Roman"/>
          <w:bCs w:val="0"/>
          <w:szCs w:val="24"/>
        </w:rPr>
        <w:lastRenderedPageBreak/>
        <w:t>Natomiast gdy jest to uzasadnione istotnie zwiększonym nakładem pracy syndyka skutkującym wzrostem funduszów masy upadłości, w szczególności wskutek podjęcia przez syndyka czynności związanych z dochodzeniem przekazania do masy upadłości tego, co wskutek czynności dłużnika bezskutecznych wobec masy upadłości lub wierzycieli ubyło z</w:t>
      </w:r>
      <w:r w:rsidR="004F71F0" w:rsidRPr="00136304">
        <w:rPr>
          <w:rFonts w:ascii="Times New Roman" w:hAnsi="Times New Roman" w:cs="Times New Roman"/>
          <w:bCs w:val="0"/>
          <w:szCs w:val="24"/>
        </w:rPr>
        <w:t> </w:t>
      </w:r>
      <w:r w:rsidRPr="00136304">
        <w:rPr>
          <w:rFonts w:ascii="Times New Roman" w:hAnsi="Times New Roman" w:cs="Times New Roman"/>
          <w:bCs w:val="0"/>
          <w:szCs w:val="24"/>
        </w:rPr>
        <w:t>majątku upadłego lub do niego nie weszło, sąd może</w:t>
      </w:r>
      <w:r w:rsidR="00E14660" w:rsidRPr="00136304">
        <w:rPr>
          <w:rFonts w:ascii="Times New Roman" w:hAnsi="Times New Roman" w:cs="Times New Roman"/>
          <w:bCs w:val="0"/>
          <w:szCs w:val="24"/>
        </w:rPr>
        <w:t xml:space="preserve"> na wniosek syndyka</w:t>
      </w:r>
      <w:r w:rsidRPr="00136304">
        <w:rPr>
          <w:rFonts w:ascii="Times New Roman" w:hAnsi="Times New Roman" w:cs="Times New Roman"/>
          <w:bCs w:val="0"/>
          <w:szCs w:val="24"/>
        </w:rPr>
        <w:t xml:space="preserve"> ustalić </w:t>
      </w:r>
      <w:r w:rsidR="00E14660" w:rsidRPr="00136304">
        <w:rPr>
          <w:rFonts w:ascii="Times New Roman" w:hAnsi="Times New Roman" w:cs="Times New Roman"/>
          <w:bCs w:val="0"/>
          <w:szCs w:val="24"/>
        </w:rPr>
        <w:t xml:space="preserve">jego </w:t>
      </w:r>
      <w:r w:rsidRPr="00136304">
        <w:rPr>
          <w:rFonts w:ascii="Times New Roman" w:hAnsi="Times New Roman" w:cs="Times New Roman"/>
          <w:bCs w:val="0"/>
          <w:szCs w:val="24"/>
        </w:rPr>
        <w:t>wynagrodzenie w</w:t>
      </w:r>
      <w:r w:rsidR="004F71F0" w:rsidRPr="00136304">
        <w:rPr>
          <w:rFonts w:ascii="Times New Roman" w:hAnsi="Times New Roman" w:cs="Times New Roman"/>
          <w:bCs w:val="0"/>
          <w:szCs w:val="24"/>
        </w:rPr>
        <w:t> </w:t>
      </w:r>
      <w:r w:rsidRPr="00136304">
        <w:rPr>
          <w:rFonts w:ascii="Times New Roman" w:hAnsi="Times New Roman" w:cs="Times New Roman"/>
          <w:bCs w:val="0"/>
          <w:szCs w:val="24"/>
        </w:rPr>
        <w:t>wysokości do czterokrotności przeciętnego miesięcznego wynagrodzenia.</w:t>
      </w:r>
      <w:r w:rsidR="00E14660" w:rsidRPr="00136304">
        <w:rPr>
          <w:rFonts w:ascii="Times New Roman" w:hAnsi="Times New Roman" w:cs="Times New Roman"/>
          <w:bCs w:val="0"/>
          <w:szCs w:val="24"/>
        </w:rPr>
        <w:t xml:space="preserve"> (art. 491</w:t>
      </w:r>
      <w:r w:rsidR="00E14660" w:rsidRPr="00136304">
        <w:rPr>
          <w:rFonts w:ascii="Times New Roman" w:hAnsi="Times New Roman" w:cs="Times New Roman"/>
          <w:bCs w:val="0"/>
          <w:szCs w:val="24"/>
          <w:vertAlign w:val="superscript"/>
        </w:rPr>
        <w:t>9</w:t>
      </w:r>
      <w:r w:rsidR="00E14660" w:rsidRPr="00136304">
        <w:rPr>
          <w:rFonts w:ascii="Times New Roman" w:hAnsi="Times New Roman" w:cs="Times New Roman"/>
          <w:bCs w:val="0"/>
          <w:szCs w:val="24"/>
        </w:rPr>
        <w:t xml:space="preserve"> ust. 3a P.U.)</w:t>
      </w:r>
    </w:p>
    <w:p w14:paraId="63252018" w14:textId="77777777" w:rsidR="008A38A4" w:rsidRPr="00136304" w:rsidRDefault="008A38A4" w:rsidP="00136304">
      <w:pPr>
        <w:pStyle w:val="USTustnpkodeksu"/>
        <w:spacing w:before="120"/>
        <w:ind w:firstLine="567"/>
        <w:rPr>
          <w:rFonts w:ascii="Times New Roman" w:hAnsi="Times New Roman" w:cs="Times New Roman"/>
          <w:bCs w:val="0"/>
          <w:szCs w:val="24"/>
        </w:rPr>
      </w:pPr>
      <w:r w:rsidRPr="00136304">
        <w:rPr>
          <w:rFonts w:ascii="Times New Roman" w:hAnsi="Times New Roman" w:cs="Times New Roman"/>
          <w:bCs w:val="0"/>
          <w:szCs w:val="24"/>
        </w:rPr>
        <w:t xml:space="preserve">W zakresie wynagrodzenia syndyka </w:t>
      </w:r>
      <w:r w:rsidR="004D736B" w:rsidRPr="00136304">
        <w:rPr>
          <w:rFonts w:ascii="Times New Roman" w:hAnsi="Times New Roman" w:cs="Times New Roman"/>
          <w:bCs w:val="0"/>
          <w:szCs w:val="24"/>
        </w:rPr>
        <w:t xml:space="preserve">projekt </w:t>
      </w:r>
      <w:r w:rsidRPr="00136304">
        <w:rPr>
          <w:rFonts w:ascii="Times New Roman" w:hAnsi="Times New Roman" w:cs="Times New Roman"/>
          <w:bCs w:val="0"/>
          <w:szCs w:val="24"/>
        </w:rPr>
        <w:t>ustaw</w:t>
      </w:r>
      <w:r w:rsidR="004D736B" w:rsidRPr="00136304">
        <w:rPr>
          <w:rFonts w:ascii="Times New Roman" w:hAnsi="Times New Roman" w:cs="Times New Roman"/>
          <w:bCs w:val="0"/>
          <w:szCs w:val="24"/>
        </w:rPr>
        <w:t>y</w:t>
      </w:r>
      <w:r w:rsidRPr="00136304">
        <w:rPr>
          <w:rFonts w:ascii="Times New Roman" w:hAnsi="Times New Roman" w:cs="Times New Roman"/>
          <w:bCs w:val="0"/>
          <w:szCs w:val="24"/>
        </w:rPr>
        <w:t xml:space="preserve"> wprowadza możliwość zastosowania art. 162 </w:t>
      </w:r>
      <w:r w:rsidR="00C8258C" w:rsidRPr="00136304">
        <w:rPr>
          <w:rFonts w:ascii="Times New Roman" w:hAnsi="Times New Roman" w:cs="Times New Roman"/>
          <w:bCs w:val="0"/>
          <w:szCs w:val="24"/>
        </w:rPr>
        <w:t xml:space="preserve">P.U. </w:t>
      </w:r>
      <w:r w:rsidRPr="00136304">
        <w:rPr>
          <w:rFonts w:ascii="Times New Roman" w:hAnsi="Times New Roman" w:cs="Times New Roman"/>
          <w:bCs w:val="0"/>
          <w:szCs w:val="24"/>
        </w:rPr>
        <w:t>również w trybie uproszczonym. W szczególnie uzasadnionych przypadkach</w:t>
      </w:r>
      <w:r w:rsidR="001C518A">
        <w:rPr>
          <w:rFonts w:ascii="Times New Roman" w:hAnsi="Times New Roman" w:cs="Times New Roman"/>
          <w:bCs w:val="0"/>
          <w:szCs w:val="24"/>
        </w:rPr>
        <w:t>,</w:t>
      </w:r>
      <w:r w:rsidRPr="00136304">
        <w:rPr>
          <w:rFonts w:ascii="Times New Roman" w:hAnsi="Times New Roman" w:cs="Times New Roman"/>
          <w:bCs w:val="0"/>
          <w:szCs w:val="24"/>
        </w:rPr>
        <w:t xml:space="preserve"> gdy przemawia za tym znaczy stopnień skomplikowania sytuacji prawnej i</w:t>
      </w:r>
      <w:r w:rsidR="004D736B" w:rsidRPr="00136304">
        <w:rPr>
          <w:rFonts w:ascii="Times New Roman" w:hAnsi="Times New Roman" w:cs="Times New Roman"/>
          <w:bCs w:val="0"/>
          <w:szCs w:val="24"/>
        </w:rPr>
        <w:t> </w:t>
      </w:r>
      <w:r w:rsidRPr="00136304">
        <w:rPr>
          <w:rFonts w:ascii="Times New Roman" w:hAnsi="Times New Roman" w:cs="Times New Roman"/>
          <w:bCs w:val="0"/>
          <w:szCs w:val="24"/>
        </w:rPr>
        <w:t>faktycznej masy upadłości, jej rozproszenie i stan majątku</w:t>
      </w:r>
      <w:r w:rsidR="001C518A">
        <w:rPr>
          <w:rFonts w:ascii="Times New Roman" w:hAnsi="Times New Roman" w:cs="Times New Roman"/>
          <w:bCs w:val="0"/>
          <w:szCs w:val="24"/>
        </w:rPr>
        <w:t>,</w:t>
      </w:r>
      <w:r w:rsidRPr="00136304">
        <w:rPr>
          <w:rFonts w:ascii="Times New Roman" w:hAnsi="Times New Roman" w:cs="Times New Roman"/>
          <w:bCs w:val="0"/>
          <w:szCs w:val="24"/>
        </w:rPr>
        <w:t xml:space="preserve"> a zwłaszcza gdy w skład masy upadłości wchodzą nieruchomości, wierzytelności sporne lub będące przedmiotem postępowania spadkowego</w:t>
      </w:r>
      <w:r w:rsidR="001C518A">
        <w:rPr>
          <w:rFonts w:ascii="Times New Roman" w:hAnsi="Times New Roman" w:cs="Times New Roman"/>
          <w:bCs w:val="0"/>
          <w:szCs w:val="24"/>
        </w:rPr>
        <w:t>,</w:t>
      </w:r>
      <w:r w:rsidRPr="00136304">
        <w:rPr>
          <w:rFonts w:ascii="Times New Roman" w:hAnsi="Times New Roman" w:cs="Times New Roman"/>
          <w:bCs w:val="0"/>
          <w:szCs w:val="24"/>
        </w:rPr>
        <w:t xml:space="preserve"> syndyk może złożyć wniosek o przyznanie wynagrodzenia na zasadach określonych w art. 162. </w:t>
      </w:r>
      <w:r w:rsidR="00C8258C" w:rsidRPr="00136304">
        <w:rPr>
          <w:rFonts w:ascii="Times New Roman" w:hAnsi="Times New Roman" w:cs="Times New Roman"/>
          <w:bCs w:val="0"/>
          <w:szCs w:val="24"/>
        </w:rPr>
        <w:t xml:space="preserve">P.U. </w:t>
      </w:r>
      <w:r w:rsidR="0082615E" w:rsidRPr="00136304">
        <w:rPr>
          <w:rFonts w:ascii="Times New Roman" w:hAnsi="Times New Roman" w:cs="Times New Roman"/>
          <w:bCs w:val="0"/>
          <w:szCs w:val="24"/>
        </w:rPr>
        <w:t>(art. 491 ust. 3b P.U.).</w:t>
      </w:r>
    </w:p>
    <w:p w14:paraId="224D21D8" w14:textId="77777777" w:rsidR="00662196" w:rsidRPr="00136304" w:rsidRDefault="00662196" w:rsidP="00136304">
      <w:pPr>
        <w:pStyle w:val="USTustnpkodeksu"/>
        <w:spacing w:before="120"/>
        <w:ind w:firstLine="567"/>
        <w:rPr>
          <w:rFonts w:ascii="Times New Roman" w:hAnsi="Times New Roman" w:cs="Times New Roman"/>
          <w:bCs w:val="0"/>
          <w:szCs w:val="24"/>
        </w:rPr>
      </w:pPr>
      <w:r w:rsidRPr="00136304">
        <w:rPr>
          <w:rFonts w:ascii="Times New Roman" w:hAnsi="Times New Roman" w:cs="Times New Roman"/>
          <w:bCs w:val="0"/>
          <w:szCs w:val="24"/>
        </w:rPr>
        <w:t xml:space="preserve">W przypadku </w:t>
      </w:r>
      <w:r w:rsidR="008D1D7D" w:rsidRPr="00136304">
        <w:rPr>
          <w:rFonts w:ascii="Times New Roman" w:hAnsi="Times New Roman" w:cs="Times New Roman"/>
          <w:bCs w:val="0"/>
          <w:szCs w:val="24"/>
        </w:rPr>
        <w:t xml:space="preserve">gdy w opinii sądu zaistnieje konieczności obniżenia lub podwyższenia zryczałtowanego wynagrodzenia syndyka, </w:t>
      </w:r>
      <w:r w:rsidRPr="00136304">
        <w:rPr>
          <w:rFonts w:ascii="Times New Roman" w:hAnsi="Times New Roman" w:cs="Times New Roman"/>
          <w:bCs w:val="0"/>
          <w:szCs w:val="24"/>
        </w:rPr>
        <w:t>będzie o tym orzekał w postanowieniu o ustaleniu planu spłaty wierzycieli, o</w:t>
      </w:r>
      <w:r w:rsidR="004D736B" w:rsidRPr="00136304">
        <w:rPr>
          <w:rFonts w:ascii="Times New Roman" w:hAnsi="Times New Roman" w:cs="Times New Roman"/>
          <w:bCs w:val="0"/>
          <w:szCs w:val="24"/>
        </w:rPr>
        <w:t> </w:t>
      </w:r>
      <w:r w:rsidRPr="00136304">
        <w:rPr>
          <w:rFonts w:ascii="Times New Roman" w:hAnsi="Times New Roman" w:cs="Times New Roman"/>
          <w:bCs w:val="0"/>
          <w:szCs w:val="24"/>
        </w:rPr>
        <w:t>umorzeniu zobowiązań upadłego bez ustalenia planu spłaty wierzycieli, o warunkowym umorzeniu zobowiązań upadłego bez ustalenia planu spłaty wierzycieli, postanowieni</w:t>
      </w:r>
      <w:r w:rsidR="00856C11">
        <w:rPr>
          <w:rFonts w:ascii="Times New Roman" w:hAnsi="Times New Roman" w:cs="Times New Roman"/>
          <w:bCs w:val="0"/>
          <w:szCs w:val="24"/>
        </w:rPr>
        <w:t>u</w:t>
      </w:r>
      <w:r w:rsidRPr="00136304">
        <w:rPr>
          <w:rFonts w:ascii="Times New Roman" w:hAnsi="Times New Roman" w:cs="Times New Roman"/>
          <w:bCs w:val="0"/>
          <w:szCs w:val="24"/>
        </w:rPr>
        <w:t>, o którym mowa w art. 491</w:t>
      </w:r>
      <w:r w:rsidRPr="00136304">
        <w:rPr>
          <w:rFonts w:ascii="Times New Roman" w:hAnsi="Times New Roman" w:cs="Times New Roman"/>
          <w:bCs w:val="0"/>
          <w:szCs w:val="24"/>
          <w:vertAlign w:val="superscript"/>
        </w:rPr>
        <w:t>14a</w:t>
      </w:r>
      <w:r w:rsidRPr="00136304">
        <w:rPr>
          <w:rFonts w:ascii="Times New Roman" w:hAnsi="Times New Roman" w:cs="Times New Roman"/>
          <w:bCs w:val="0"/>
          <w:szCs w:val="24"/>
        </w:rPr>
        <w:t>, albo postanowieni</w:t>
      </w:r>
      <w:r w:rsidR="00856C11">
        <w:rPr>
          <w:rFonts w:ascii="Times New Roman" w:hAnsi="Times New Roman" w:cs="Times New Roman"/>
          <w:bCs w:val="0"/>
          <w:szCs w:val="24"/>
        </w:rPr>
        <w:t>u</w:t>
      </w:r>
      <w:r w:rsidRPr="00136304">
        <w:rPr>
          <w:rFonts w:ascii="Times New Roman" w:hAnsi="Times New Roman" w:cs="Times New Roman"/>
          <w:bCs w:val="0"/>
          <w:szCs w:val="24"/>
        </w:rPr>
        <w:t xml:space="preserve"> o umorzeniu postępowania (art. 491</w:t>
      </w:r>
      <w:r w:rsidRPr="00136304">
        <w:rPr>
          <w:rFonts w:ascii="Times New Roman" w:hAnsi="Times New Roman" w:cs="Times New Roman"/>
          <w:bCs w:val="0"/>
          <w:szCs w:val="24"/>
          <w:vertAlign w:val="superscript"/>
        </w:rPr>
        <w:t>9</w:t>
      </w:r>
      <w:r w:rsidRPr="00136304">
        <w:rPr>
          <w:rFonts w:ascii="Times New Roman" w:hAnsi="Times New Roman" w:cs="Times New Roman"/>
          <w:bCs w:val="0"/>
          <w:szCs w:val="24"/>
        </w:rPr>
        <w:t xml:space="preserve"> ust. 3c P.U.)</w:t>
      </w:r>
      <w:r w:rsidR="00C40162" w:rsidRPr="00136304">
        <w:rPr>
          <w:rFonts w:ascii="Times New Roman" w:hAnsi="Times New Roman" w:cs="Times New Roman"/>
          <w:bCs w:val="0"/>
          <w:szCs w:val="24"/>
        </w:rPr>
        <w:t>.</w:t>
      </w:r>
    </w:p>
    <w:p w14:paraId="04182F3E" w14:textId="77777777" w:rsidR="0082615E" w:rsidRPr="00136304" w:rsidRDefault="00886EF2" w:rsidP="00136304">
      <w:pPr>
        <w:pStyle w:val="USTustnpkodeksu"/>
        <w:spacing w:before="120"/>
        <w:ind w:firstLine="567"/>
        <w:rPr>
          <w:rFonts w:ascii="Times New Roman" w:hAnsi="Times New Roman" w:cs="Times New Roman"/>
          <w:bCs w:val="0"/>
          <w:szCs w:val="24"/>
        </w:rPr>
      </w:pPr>
      <w:r w:rsidRPr="00136304">
        <w:rPr>
          <w:rFonts w:ascii="Times New Roman" w:hAnsi="Times New Roman" w:cs="Times New Roman"/>
          <w:bCs w:val="0"/>
          <w:szCs w:val="24"/>
        </w:rPr>
        <w:t>Przy czym syndyk będzie uprawniony do pobrania po uprawomocnieniu się postanowienia sądu o ustaleniu planu spłaty wierzycieli albo o umorzeniu zobowiązań upadłego bez ustalenia planu spłaty wierzycieli</w:t>
      </w:r>
      <w:r w:rsidR="00E4568C">
        <w:rPr>
          <w:rFonts w:ascii="Times New Roman" w:hAnsi="Times New Roman" w:cs="Times New Roman"/>
          <w:bCs w:val="0"/>
          <w:szCs w:val="24"/>
        </w:rPr>
        <w:t>,</w:t>
      </w:r>
      <w:r w:rsidRPr="00136304">
        <w:rPr>
          <w:rFonts w:ascii="Times New Roman" w:hAnsi="Times New Roman" w:cs="Times New Roman"/>
          <w:bCs w:val="0"/>
          <w:szCs w:val="24"/>
        </w:rPr>
        <w:t xml:space="preserve"> albo o warunkowym umorzeniu zobowiązań upadłego bez ustalenia planu spłaty wierzycieli</w:t>
      </w:r>
      <w:r w:rsidR="00E4568C">
        <w:rPr>
          <w:rFonts w:ascii="Times New Roman" w:hAnsi="Times New Roman" w:cs="Times New Roman"/>
          <w:bCs w:val="0"/>
          <w:szCs w:val="24"/>
        </w:rPr>
        <w:t>,</w:t>
      </w:r>
      <w:r w:rsidRPr="00136304">
        <w:rPr>
          <w:rFonts w:ascii="Times New Roman" w:hAnsi="Times New Roman" w:cs="Times New Roman"/>
          <w:bCs w:val="0"/>
          <w:szCs w:val="24"/>
        </w:rPr>
        <w:t xml:space="preserve"> albo postanowienia, o którym mowa w art.</w:t>
      </w:r>
      <w:r w:rsidR="00856C11">
        <w:rPr>
          <w:rFonts w:ascii="Times New Roman" w:hAnsi="Times New Roman" w:cs="Times New Roman"/>
          <w:bCs w:val="0"/>
          <w:szCs w:val="24"/>
        </w:rPr>
        <w:t> </w:t>
      </w:r>
      <w:r w:rsidRPr="00136304">
        <w:rPr>
          <w:rFonts w:ascii="Times New Roman" w:hAnsi="Times New Roman" w:cs="Times New Roman"/>
          <w:bCs w:val="0"/>
          <w:szCs w:val="24"/>
        </w:rPr>
        <w:t>491</w:t>
      </w:r>
      <w:r w:rsidRPr="00136304">
        <w:rPr>
          <w:rFonts w:ascii="Times New Roman" w:hAnsi="Times New Roman" w:cs="Times New Roman"/>
          <w:bCs w:val="0"/>
          <w:szCs w:val="24"/>
          <w:vertAlign w:val="superscript"/>
        </w:rPr>
        <w:t>14a</w:t>
      </w:r>
      <w:r w:rsidRPr="00136304">
        <w:rPr>
          <w:rFonts w:ascii="Times New Roman" w:hAnsi="Times New Roman" w:cs="Times New Roman"/>
          <w:bCs w:val="0"/>
          <w:szCs w:val="24"/>
        </w:rPr>
        <w:t xml:space="preserve"> P.U.</w:t>
      </w:r>
      <w:r w:rsidR="00E4568C">
        <w:rPr>
          <w:rFonts w:ascii="Times New Roman" w:hAnsi="Times New Roman" w:cs="Times New Roman"/>
          <w:bCs w:val="0"/>
          <w:szCs w:val="24"/>
        </w:rPr>
        <w:t>,</w:t>
      </w:r>
      <w:r w:rsidR="009308F1" w:rsidRPr="00136304">
        <w:rPr>
          <w:rFonts w:ascii="Times New Roman" w:hAnsi="Times New Roman" w:cs="Times New Roman"/>
          <w:bCs w:val="0"/>
          <w:szCs w:val="24"/>
        </w:rPr>
        <w:t xml:space="preserve"> </w:t>
      </w:r>
      <w:r w:rsidRPr="00136304">
        <w:rPr>
          <w:rFonts w:ascii="Times New Roman" w:hAnsi="Times New Roman" w:cs="Times New Roman"/>
          <w:bCs w:val="0"/>
          <w:szCs w:val="24"/>
        </w:rPr>
        <w:t>albo postanowienia o umorzeniu postępowania (art. 491</w:t>
      </w:r>
      <w:r w:rsidRPr="00136304">
        <w:rPr>
          <w:rFonts w:ascii="Times New Roman" w:hAnsi="Times New Roman" w:cs="Times New Roman"/>
          <w:bCs w:val="0"/>
          <w:szCs w:val="24"/>
          <w:vertAlign w:val="superscript"/>
        </w:rPr>
        <w:t>9</w:t>
      </w:r>
      <w:r w:rsidRPr="00136304">
        <w:rPr>
          <w:rFonts w:ascii="Times New Roman" w:hAnsi="Times New Roman" w:cs="Times New Roman"/>
          <w:bCs w:val="0"/>
          <w:szCs w:val="24"/>
        </w:rPr>
        <w:t xml:space="preserve"> ust. 3c P.U.).</w:t>
      </w:r>
      <w:r w:rsidR="00925920">
        <w:rPr>
          <w:rFonts w:ascii="Times New Roman" w:hAnsi="Times New Roman" w:cs="Times New Roman"/>
          <w:bCs w:val="0"/>
          <w:szCs w:val="24"/>
        </w:rPr>
        <w:t xml:space="preserve"> </w:t>
      </w:r>
      <w:r w:rsidRPr="00136304">
        <w:rPr>
          <w:rFonts w:ascii="Times New Roman" w:hAnsi="Times New Roman" w:cs="Times New Roman"/>
          <w:bCs w:val="0"/>
          <w:szCs w:val="24"/>
        </w:rPr>
        <w:t>W ww. postanowieniach sąd stwierdzi wysokość wynagrodzenia, która zostanie wypłacona ze środków Skarbu Państwa (art. 491</w:t>
      </w:r>
      <w:r w:rsidRPr="00136304">
        <w:rPr>
          <w:rFonts w:ascii="Times New Roman" w:hAnsi="Times New Roman" w:cs="Times New Roman"/>
          <w:bCs w:val="0"/>
          <w:szCs w:val="24"/>
          <w:vertAlign w:val="superscript"/>
        </w:rPr>
        <w:t xml:space="preserve">9 </w:t>
      </w:r>
      <w:r w:rsidRPr="00136304">
        <w:rPr>
          <w:rFonts w:ascii="Times New Roman" w:hAnsi="Times New Roman" w:cs="Times New Roman"/>
          <w:bCs w:val="0"/>
          <w:szCs w:val="24"/>
        </w:rPr>
        <w:t xml:space="preserve">ust. </w:t>
      </w:r>
      <w:r w:rsidR="00662196" w:rsidRPr="00136304">
        <w:rPr>
          <w:rFonts w:ascii="Times New Roman" w:hAnsi="Times New Roman" w:cs="Times New Roman"/>
          <w:bCs w:val="0"/>
          <w:szCs w:val="24"/>
        </w:rPr>
        <w:t>3d P.U.)</w:t>
      </w:r>
    </w:p>
    <w:p w14:paraId="2ED913D9" w14:textId="77777777" w:rsidR="00382249" w:rsidRPr="009E327C" w:rsidRDefault="00382249" w:rsidP="00136304">
      <w:pPr>
        <w:spacing w:before="120" w:line="360" w:lineRule="auto"/>
        <w:ind w:firstLine="567"/>
        <w:jc w:val="both"/>
        <w:rPr>
          <w:b/>
          <w:bCs/>
        </w:rPr>
      </w:pPr>
      <w:r w:rsidRPr="009E327C">
        <w:rPr>
          <w:b/>
          <w:bCs/>
        </w:rPr>
        <w:t>Art. 1 pkt 1</w:t>
      </w:r>
      <w:r w:rsidR="00764084" w:rsidRPr="009E327C">
        <w:rPr>
          <w:b/>
          <w:bCs/>
        </w:rPr>
        <w:t>5</w:t>
      </w:r>
      <w:r w:rsidRPr="009E327C">
        <w:rPr>
          <w:b/>
          <w:bCs/>
        </w:rPr>
        <w:t xml:space="preserve"> projektu (zmiana art. 491</w:t>
      </w:r>
      <w:r w:rsidR="00C8258C" w:rsidRPr="009E327C">
        <w:rPr>
          <w:b/>
          <w:bCs/>
          <w:vertAlign w:val="superscript"/>
        </w:rPr>
        <w:t>14</w:t>
      </w:r>
      <w:r w:rsidR="00C8258C" w:rsidRPr="009E327C">
        <w:rPr>
          <w:b/>
          <w:bCs/>
        </w:rPr>
        <w:t xml:space="preserve"> </w:t>
      </w:r>
      <w:r w:rsidRPr="009E327C">
        <w:rPr>
          <w:b/>
          <w:bCs/>
        </w:rPr>
        <w:t>ust. 7a Prawa upadłościowego)</w:t>
      </w:r>
    </w:p>
    <w:p w14:paraId="58DB39C2" w14:textId="77777777" w:rsidR="00382249" w:rsidRPr="009E327C" w:rsidRDefault="00382249" w:rsidP="00136304">
      <w:pPr>
        <w:spacing w:before="120" w:line="360" w:lineRule="auto"/>
        <w:ind w:firstLine="567"/>
        <w:jc w:val="both"/>
      </w:pPr>
      <w:r w:rsidRPr="009E327C">
        <w:t xml:space="preserve">Zob. uwagi do projektowanego przepisu art. 1 pkt </w:t>
      </w:r>
      <w:r w:rsidR="00DB43DE" w:rsidRPr="009E327C">
        <w:t>5 lit.</w:t>
      </w:r>
      <w:r w:rsidR="00E4568C">
        <w:t xml:space="preserve"> </w:t>
      </w:r>
      <w:r w:rsidR="00DB43DE" w:rsidRPr="009E327C">
        <w:t>c</w:t>
      </w:r>
      <w:r w:rsidRPr="009E327C">
        <w:t>, ponieważ takie same zasady przyjęto w odniesieniu do upadłości konsumenckiej.</w:t>
      </w:r>
    </w:p>
    <w:p w14:paraId="6D439DB7" w14:textId="77777777" w:rsidR="00382249" w:rsidRPr="009E327C" w:rsidRDefault="00382249" w:rsidP="00136304">
      <w:pPr>
        <w:spacing w:before="120" w:line="360" w:lineRule="auto"/>
        <w:ind w:firstLine="567"/>
        <w:jc w:val="both"/>
        <w:rPr>
          <w:b/>
          <w:bCs/>
        </w:rPr>
      </w:pPr>
      <w:r w:rsidRPr="009E327C">
        <w:rPr>
          <w:b/>
          <w:bCs/>
        </w:rPr>
        <w:t>Art. 1 pkt 1</w:t>
      </w:r>
      <w:r w:rsidR="00764084" w:rsidRPr="009E327C">
        <w:rPr>
          <w:b/>
          <w:bCs/>
        </w:rPr>
        <w:t>6</w:t>
      </w:r>
      <w:r w:rsidRPr="009E327C">
        <w:rPr>
          <w:b/>
          <w:bCs/>
        </w:rPr>
        <w:t xml:space="preserve"> projektu (zmiana art. 491</w:t>
      </w:r>
      <w:r w:rsidR="00C8258C" w:rsidRPr="009E327C">
        <w:rPr>
          <w:b/>
          <w:bCs/>
          <w:vertAlign w:val="superscript"/>
        </w:rPr>
        <w:t>15</w:t>
      </w:r>
      <w:r w:rsidR="00C8258C" w:rsidRPr="009E327C">
        <w:rPr>
          <w:b/>
          <w:bCs/>
        </w:rPr>
        <w:t xml:space="preserve"> </w:t>
      </w:r>
      <w:r w:rsidRPr="009E327C">
        <w:rPr>
          <w:b/>
          <w:bCs/>
        </w:rPr>
        <w:t>Prawa upadłościowego)</w:t>
      </w:r>
    </w:p>
    <w:p w14:paraId="5606784E" w14:textId="77777777" w:rsidR="00382249" w:rsidRPr="009E327C" w:rsidRDefault="00382249" w:rsidP="00136304">
      <w:pPr>
        <w:spacing w:before="120" w:line="360" w:lineRule="auto"/>
        <w:ind w:firstLine="567"/>
        <w:jc w:val="both"/>
      </w:pPr>
      <w:r w:rsidRPr="009E327C">
        <w:lastRenderedPageBreak/>
        <w:t xml:space="preserve">Zob. uwagi do projektowanego przepisu art. 1 pkt </w:t>
      </w:r>
      <w:r w:rsidR="007C3A9E" w:rsidRPr="009E327C">
        <w:t>5</w:t>
      </w:r>
      <w:r w:rsidRPr="009E327C">
        <w:t>, ponieważ takie same zasady przyjęto w odniesieniu do upadłości konsumenckiej.</w:t>
      </w:r>
    </w:p>
    <w:p w14:paraId="514227DE" w14:textId="77777777" w:rsidR="00382249" w:rsidRPr="009E327C" w:rsidRDefault="00382249" w:rsidP="00136304">
      <w:pPr>
        <w:spacing w:before="120" w:line="360" w:lineRule="auto"/>
        <w:ind w:firstLine="567"/>
        <w:jc w:val="both"/>
        <w:rPr>
          <w:b/>
          <w:bCs/>
        </w:rPr>
      </w:pPr>
      <w:r w:rsidRPr="009E327C">
        <w:rPr>
          <w:b/>
          <w:bCs/>
        </w:rPr>
        <w:t>Art. 1 pkt 1</w:t>
      </w:r>
      <w:r w:rsidR="00764084" w:rsidRPr="009E327C">
        <w:rPr>
          <w:b/>
          <w:bCs/>
        </w:rPr>
        <w:t>7</w:t>
      </w:r>
      <w:r w:rsidRPr="009E327C">
        <w:rPr>
          <w:b/>
          <w:bCs/>
        </w:rPr>
        <w:t xml:space="preserve"> projektu (zmiana art. 491</w:t>
      </w:r>
      <w:r w:rsidR="00C8258C" w:rsidRPr="009E327C">
        <w:rPr>
          <w:b/>
          <w:bCs/>
          <w:vertAlign w:val="superscript"/>
        </w:rPr>
        <w:t>17</w:t>
      </w:r>
      <w:r w:rsidR="00C8258C" w:rsidRPr="009E327C">
        <w:rPr>
          <w:b/>
          <w:bCs/>
        </w:rPr>
        <w:t xml:space="preserve"> </w:t>
      </w:r>
      <w:r w:rsidRPr="009E327C">
        <w:rPr>
          <w:b/>
          <w:bCs/>
        </w:rPr>
        <w:t>Prawa upadłościowego)</w:t>
      </w:r>
    </w:p>
    <w:p w14:paraId="72006030" w14:textId="77777777" w:rsidR="00382249" w:rsidRPr="009E327C" w:rsidRDefault="00382249" w:rsidP="00136304">
      <w:pPr>
        <w:spacing w:before="120" w:line="360" w:lineRule="auto"/>
        <w:ind w:firstLine="567"/>
        <w:jc w:val="both"/>
      </w:pPr>
      <w:r w:rsidRPr="009E327C">
        <w:t xml:space="preserve">Zob. uwagi do projektowanego przepisu art. 1 pkt </w:t>
      </w:r>
      <w:r w:rsidR="007C3A9E" w:rsidRPr="009E327C">
        <w:t>6</w:t>
      </w:r>
      <w:r w:rsidRPr="009E327C">
        <w:t>, ponieważ takie same zasady przyjęto w odniesieniu do upadłości konsumenckiej.</w:t>
      </w:r>
    </w:p>
    <w:p w14:paraId="13770AE6" w14:textId="77777777" w:rsidR="00382249" w:rsidRPr="009E327C" w:rsidRDefault="00382249" w:rsidP="00136304">
      <w:pPr>
        <w:spacing w:before="120" w:line="360" w:lineRule="auto"/>
        <w:ind w:firstLine="567"/>
        <w:jc w:val="both"/>
        <w:rPr>
          <w:b/>
          <w:bCs/>
        </w:rPr>
      </w:pPr>
      <w:r w:rsidRPr="009E327C">
        <w:rPr>
          <w:b/>
          <w:bCs/>
        </w:rPr>
        <w:t>Art. 1 pkt 1</w:t>
      </w:r>
      <w:r w:rsidR="00764084" w:rsidRPr="009E327C">
        <w:rPr>
          <w:b/>
          <w:bCs/>
        </w:rPr>
        <w:t>8</w:t>
      </w:r>
      <w:r w:rsidRPr="009E327C">
        <w:rPr>
          <w:b/>
          <w:bCs/>
        </w:rPr>
        <w:t xml:space="preserve"> projektu (zmiana art. 491</w:t>
      </w:r>
      <w:r w:rsidR="00C8258C" w:rsidRPr="009E327C">
        <w:rPr>
          <w:b/>
          <w:bCs/>
          <w:vertAlign w:val="superscript"/>
        </w:rPr>
        <w:t>18</w:t>
      </w:r>
      <w:r w:rsidR="00C8258C" w:rsidRPr="009E327C">
        <w:rPr>
          <w:b/>
          <w:bCs/>
        </w:rPr>
        <w:t xml:space="preserve"> </w:t>
      </w:r>
      <w:r w:rsidRPr="009E327C">
        <w:rPr>
          <w:b/>
          <w:bCs/>
        </w:rPr>
        <w:t>Prawa upadłościowego)</w:t>
      </w:r>
    </w:p>
    <w:p w14:paraId="58E9DDF7" w14:textId="77777777" w:rsidR="00382249" w:rsidRPr="009E327C" w:rsidRDefault="00382249" w:rsidP="00136304">
      <w:pPr>
        <w:spacing w:before="120" w:line="360" w:lineRule="auto"/>
        <w:ind w:firstLine="567"/>
        <w:jc w:val="both"/>
      </w:pPr>
      <w:r w:rsidRPr="009E327C">
        <w:t xml:space="preserve">Zob. uwagi do projektowanego przepisu art. 1 pkt </w:t>
      </w:r>
      <w:r w:rsidR="007C3A9E" w:rsidRPr="009E327C">
        <w:t>7</w:t>
      </w:r>
      <w:r w:rsidRPr="009E327C">
        <w:t>, ponieważ takie same zasady przyjęto w odniesieniu do upadłości konsumenckiej.</w:t>
      </w:r>
    </w:p>
    <w:p w14:paraId="1EF5205A" w14:textId="77777777" w:rsidR="00382249" w:rsidRPr="009E327C" w:rsidRDefault="00382249" w:rsidP="00136304">
      <w:pPr>
        <w:spacing w:before="120" w:line="360" w:lineRule="auto"/>
        <w:ind w:firstLine="567"/>
        <w:jc w:val="both"/>
        <w:rPr>
          <w:b/>
          <w:bCs/>
        </w:rPr>
      </w:pPr>
      <w:r w:rsidRPr="009E327C">
        <w:rPr>
          <w:b/>
          <w:bCs/>
        </w:rPr>
        <w:t xml:space="preserve">Art. 1 pkt </w:t>
      </w:r>
      <w:r w:rsidR="00764084" w:rsidRPr="009E327C">
        <w:rPr>
          <w:b/>
          <w:bCs/>
        </w:rPr>
        <w:t>19</w:t>
      </w:r>
      <w:r w:rsidRPr="009E327C">
        <w:rPr>
          <w:b/>
          <w:bCs/>
        </w:rPr>
        <w:t xml:space="preserve"> projektu (zmiana art. 491</w:t>
      </w:r>
      <w:r w:rsidR="00C8258C" w:rsidRPr="009E327C">
        <w:rPr>
          <w:b/>
          <w:bCs/>
          <w:vertAlign w:val="superscript"/>
        </w:rPr>
        <w:t>19</w:t>
      </w:r>
      <w:r w:rsidR="00C8258C" w:rsidRPr="009E327C">
        <w:rPr>
          <w:b/>
          <w:bCs/>
        </w:rPr>
        <w:t xml:space="preserve"> </w:t>
      </w:r>
      <w:r w:rsidRPr="009E327C">
        <w:rPr>
          <w:b/>
          <w:bCs/>
        </w:rPr>
        <w:t>Prawa upadłościowego)</w:t>
      </w:r>
    </w:p>
    <w:p w14:paraId="3CE6EB72" w14:textId="77777777" w:rsidR="00382249" w:rsidRPr="009E327C" w:rsidRDefault="00382249" w:rsidP="00136304">
      <w:pPr>
        <w:spacing w:before="120" w:line="360" w:lineRule="auto"/>
        <w:ind w:firstLine="567"/>
        <w:jc w:val="both"/>
      </w:pPr>
      <w:r w:rsidRPr="009E327C">
        <w:t xml:space="preserve">Zob. uwagi do projektowanego przepisu art. 1 pkt </w:t>
      </w:r>
      <w:r w:rsidR="007C3A9E" w:rsidRPr="009E327C">
        <w:t>8</w:t>
      </w:r>
      <w:r w:rsidRPr="009E327C">
        <w:t>, ponieważ takie same zasady przyjęto w odniesieniu do upadłości konsumenckiej.</w:t>
      </w:r>
    </w:p>
    <w:p w14:paraId="01E34A96" w14:textId="77777777" w:rsidR="00382249" w:rsidRPr="009E327C" w:rsidRDefault="00382249" w:rsidP="00136304">
      <w:pPr>
        <w:spacing w:before="120" w:line="360" w:lineRule="auto"/>
        <w:ind w:firstLine="567"/>
        <w:jc w:val="both"/>
        <w:rPr>
          <w:b/>
          <w:bCs/>
        </w:rPr>
      </w:pPr>
      <w:r w:rsidRPr="009E327C">
        <w:rPr>
          <w:b/>
          <w:bCs/>
        </w:rPr>
        <w:t xml:space="preserve">Art. 1 pkt </w:t>
      </w:r>
      <w:r w:rsidR="004F71F0" w:rsidRPr="009E327C">
        <w:rPr>
          <w:b/>
          <w:bCs/>
        </w:rPr>
        <w:t>2</w:t>
      </w:r>
      <w:r w:rsidR="00764084" w:rsidRPr="009E327C">
        <w:rPr>
          <w:b/>
          <w:bCs/>
        </w:rPr>
        <w:t>0</w:t>
      </w:r>
      <w:r w:rsidRPr="009E327C">
        <w:rPr>
          <w:b/>
          <w:bCs/>
        </w:rPr>
        <w:t xml:space="preserve"> projektu (zmiana art. 491</w:t>
      </w:r>
      <w:r w:rsidR="00C87C86" w:rsidRPr="009E327C">
        <w:rPr>
          <w:b/>
          <w:bCs/>
          <w:vertAlign w:val="superscript"/>
        </w:rPr>
        <w:t>20</w:t>
      </w:r>
      <w:r w:rsidR="00C87C86" w:rsidRPr="009E327C">
        <w:rPr>
          <w:b/>
          <w:bCs/>
        </w:rPr>
        <w:t xml:space="preserve"> </w:t>
      </w:r>
      <w:r w:rsidRPr="009E327C">
        <w:rPr>
          <w:b/>
          <w:bCs/>
        </w:rPr>
        <w:t>Prawa upadłościowego)</w:t>
      </w:r>
    </w:p>
    <w:p w14:paraId="07B10BA0" w14:textId="77777777" w:rsidR="00382249" w:rsidRPr="009E327C" w:rsidRDefault="00382249" w:rsidP="00136304">
      <w:pPr>
        <w:spacing w:before="120" w:line="360" w:lineRule="auto"/>
        <w:ind w:firstLine="567"/>
        <w:jc w:val="both"/>
      </w:pPr>
      <w:r w:rsidRPr="009E327C">
        <w:t xml:space="preserve">Zob. uwagi do projektowanego przepisu art. 1 pkt </w:t>
      </w:r>
      <w:r w:rsidR="007C3A9E" w:rsidRPr="009E327C">
        <w:t>9</w:t>
      </w:r>
      <w:r w:rsidRPr="009E327C">
        <w:t>, ponieważ takie same zasady przyjęto w odniesieniu do upadłości konsumenckiej.</w:t>
      </w:r>
    </w:p>
    <w:p w14:paraId="2E17B645" w14:textId="77777777" w:rsidR="00382249" w:rsidRPr="009E327C" w:rsidRDefault="00382249" w:rsidP="00136304">
      <w:pPr>
        <w:spacing w:before="120" w:line="360" w:lineRule="auto"/>
        <w:ind w:firstLine="567"/>
        <w:jc w:val="both"/>
        <w:rPr>
          <w:b/>
          <w:bCs/>
        </w:rPr>
      </w:pPr>
      <w:r w:rsidRPr="009E327C">
        <w:rPr>
          <w:b/>
          <w:bCs/>
        </w:rPr>
        <w:t xml:space="preserve">Art. 1 pkt </w:t>
      </w:r>
      <w:r w:rsidR="00F905CB" w:rsidRPr="009E327C">
        <w:rPr>
          <w:b/>
          <w:bCs/>
        </w:rPr>
        <w:t>2</w:t>
      </w:r>
      <w:r w:rsidR="00764084" w:rsidRPr="009E327C">
        <w:rPr>
          <w:b/>
          <w:bCs/>
        </w:rPr>
        <w:t>2</w:t>
      </w:r>
      <w:r w:rsidRPr="009E327C">
        <w:rPr>
          <w:b/>
          <w:bCs/>
        </w:rPr>
        <w:t xml:space="preserve"> projektu (zmiana art. 491</w:t>
      </w:r>
      <w:r w:rsidR="00C87C86" w:rsidRPr="009E327C">
        <w:rPr>
          <w:b/>
          <w:bCs/>
          <w:vertAlign w:val="superscript"/>
        </w:rPr>
        <w:t>21</w:t>
      </w:r>
      <w:r w:rsidR="00C87C86" w:rsidRPr="009E327C">
        <w:rPr>
          <w:b/>
          <w:bCs/>
        </w:rPr>
        <w:t xml:space="preserve"> </w:t>
      </w:r>
      <w:r w:rsidRPr="009E327C">
        <w:rPr>
          <w:b/>
          <w:bCs/>
        </w:rPr>
        <w:t>Prawa upadłościowego)</w:t>
      </w:r>
    </w:p>
    <w:p w14:paraId="5EB847ED" w14:textId="77777777" w:rsidR="00382249" w:rsidRPr="009E327C" w:rsidRDefault="00382249" w:rsidP="00136304">
      <w:pPr>
        <w:spacing w:before="120" w:line="360" w:lineRule="auto"/>
        <w:ind w:firstLine="567"/>
        <w:jc w:val="both"/>
      </w:pPr>
      <w:r w:rsidRPr="009E327C">
        <w:t xml:space="preserve">Zob. uwagi do projektowanego przepisu art. 1 pkt </w:t>
      </w:r>
      <w:r w:rsidR="007C3A9E" w:rsidRPr="009E327C">
        <w:t>10</w:t>
      </w:r>
      <w:r w:rsidRPr="009E327C">
        <w:t>, ponieważ takie same zasady przyjęto w odniesieniu do upadłości konsumenckiej.</w:t>
      </w:r>
    </w:p>
    <w:p w14:paraId="5EAC3C01" w14:textId="77777777" w:rsidR="00382249" w:rsidRPr="009E327C" w:rsidRDefault="00382249" w:rsidP="00136304">
      <w:pPr>
        <w:spacing w:before="120" w:line="360" w:lineRule="auto"/>
        <w:ind w:firstLine="567"/>
        <w:jc w:val="both"/>
        <w:rPr>
          <w:b/>
          <w:bCs/>
        </w:rPr>
      </w:pPr>
      <w:r w:rsidRPr="009E327C">
        <w:rPr>
          <w:b/>
          <w:bCs/>
        </w:rPr>
        <w:t xml:space="preserve">Art. 2 </w:t>
      </w:r>
      <w:r w:rsidR="004A68C6" w:rsidRPr="009E327C">
        <w:rPr>
          <w:b/>
          <w:bCs/>
        </w:rPr>
        <w:t xml:space="preserve">pkt </w:t>
      </w:r>
      <w:r w:rsidR="00764084" w:rsidRPr="009E327C">
        <w:rPr>
          <w:b/>
          <w:bCs/>
        </w:rPr>
        <w:t>1</w:t>
      </w:r>
      <w:r w:rsidR="004A68C6" w:rsidRPr="009E327C">
        <w:rPr>
          <w:b/>
          <w:bCs/>
        </w:rPr>
        <w:t xml:space="preserve"> </w:t>
      </w:r>
      <w:r w:rsidRPr="009E327C">
        <w:rPr>
          <w:b/>
          <w:bCs/>
        </w:rPr>
        <w:t>projektu (zmiana art. 197 ust. 6 i art. 199 ust. 1a Prawa restrukturyzacyjnego)</w:t>
      </w:r>
    </w:p>
    <w:p w14:paraId="1086DFE9" w14:textId="77777777" w:rsidR="00382249" w:rsidRPr="009E327C" w:rsidRDefault="00382249" w:rsidP="00136304">
      <w:pPr>
        <w:spacing w:before="120" w:line="360" w:lineRule="auto"/>
        <w:ind w:firstLine="567"/>
        <w:jc w:val="both"/>
      </w:pPr>
      <w:r w:rsidRPr="009E327C">
        <w:t>Projektowany przepis zmierza do zwiększenia efektywności postępowań poprzez przeciwdziałanie przewlekłości spowodowanej nadmiernym obciążeniem sędziów i</w:t>
      </w:r>
      <w:r w:rsidR="00CD269F" w:rsidRPr="009E327C">
        <w:t> </w:t>
      </w:r>
      <w:r w:rsidRPr="009E327C">
        <w:t>referendarzy sądowych czynnościami technicznymi. Zmiana zakłada, że obwieszczeń, w</w:t>
      </w:r>
      <w:r w:rsidR="0001407F" w:rsidRPr="009E327C">
        <w:t> </w:t>
      </w:r>
      <w:r w:rsidRPr="009E327C">
        <w:t>tym obwieszczeń o prawomocności orzeczenia oraz ujawnienia informacji o</w:t>
      </w:r>
      <w:r w:rsidR="0001407F" w:rsidRPr="009E327C">
        <w:t> </w:t>
      </w:r>
      <w:r w:rsidRPr="009E327C">
        <w:t>prawomocności orzeczenia, może dokonać w systemie teleinformatycznym obsługującym postępowanie sądowe także asystent sędziego lub pracownik sekretariatu. Analogiczne rozwiązanie przyjęto w odniesieniu do tożsamej regulacji prawa upadłościowego (art. 219 i</w:t>
      </w:r>
      <w:r w:rsidR="0001407F" w:rsidRPr="009E327C">
        <w:t> </w:t>
      </w:r>
      <w:r w:rsidR="00E4568C">
        <w:t xml:space="preserve">art. </w:t>
      </w:r>
      <w:r w:rsidRPr="009E327C">
        <w:t>221</w:t>
      </w:r>
      <w:r w:rsidR="00E4568C">
        <w:t xml:space="preserve"> </w:t>
      </w:r>
      <w:r w:rsidR="00C87C86" w:rsidRPr="009E327C">
        <w:t>P.U.</w:t>
      </w:r>
      <w:r w:rsidRPr="009E327C">
        <w:t>).</w:t>
      </w:r>
    </w:p>
    <w:bookmarkEnd w:id="0"/>
    <w:p w14:paraId="2148B68D" w14:textId="77777777" w:rsidR="00382249" w:rsidRPr="009E327C" w:rsidRDefault="00382249" w:rsidP="00136304">
      <w:pPr>
        <w:spacing w:before="120" w:line="360" w:lineRule="auto"/>
        <w:ind w:firstLine="567"/>
        <w:rPr>
          <w:b/>
          <w:bCs/>
        </w:rPr>
      </w:pPr>
      <w:r w:rsidRPr="009E327C">
        <w:rPr>
          <w:b/>
          <w:bCs/>
        </w:rPr>
        <w:t>Art. 3 projektu (zmiana art. 11 ustawy o Krajowym Rejestrze Zadłużonych)</w:t>
      </w:r>
    </w:p>
    <w:p w14:paraId="7D900EF1" w14:textId="77777777" w:rsidR="00382249" w:rsidRPr="009E327C" w:rsidRDefault="00382249" w:rsidP="00136304">
      <w:pPr>
        <w:spacing w:before="120" w:line="360" w:lineRule="auto"/>
        <w:ind w:firstLine="567"/>
        <w:jc w:val="both"/>
      </w:pPr>
      <w:r w:rsidRPr="009E327C">
        <w:t xml:space="preserve">Art. 11 ustawy o Krajowym Rejestrze Zadłużonych reguluje kwestie związane z zaprzestaniem ujawniania danych w tym Rejestrze. Projektowana zmiana w art. 11 jest konsekwencją wprowadzenia modelu oddłużenia osób fizycznych z mocy prawa. Tym samym </w:t>
      </w:r>
      <w:r w:rsidRPr="009E327C">
        <w:lastRenderedPageBreak/>
        <w:t xml:space="preserve">konieczna stała się zmiana przedmiotowego przepisu poprzez wskazanie wprost, że dane dotyczące upadłego automatycznie przestają być ujawniane po upływie 3 </w:t>
      </w:r>
      <w:r w:rsidR="0001407F" w:rsidRPr="009E327C">
        <w:t>lat od</w:t>
      </w:r>
      <w:r w:rsidRPr="009E327C">
        <w:rPr>
          <w:color w:val="333333"/>
          <w:shd w:val="clear" w:color="auto" w:fill="FFFFFF"/>
        </w:rPr>
        <w:t xml:space="preserve"> dnia obwieszczenia informacji o dacie, w której zobowiązania upadłego uległy umorzeniu z mocy prawa</w:t>
      </w:r>
      <w:r w:rsidRPr="009E327C">
        <w:t>.</w:t>
      </w:r>
    </w:p>
    <w:p w14:paraId="1A9A3DF2" w14:textId="77777777" w:rsidR="00C37FDC" w:rsidRPr="009E327C" w:rsidRDefault="00C37FDC" w:rsidP="00136304">
      <w:pPr>
        <w:spacing w:before="120" w:line="360" w:lineRule="auto"/>
        <w:ind w:firstLine="567"/>
        <w:jc w:val="both"/>
        <w:rPr>
          <w:b/>
          <w:bCs/>
        </w:rPr>
      </w:pPr>
      <w:r w:rsidRPr="009E327C">
        <w:rPr>
          <w:b/>
          <w:bCs/>
        </w:rPr>
        <w:t>Art. 5–8 projektu (przepis przejściowy)</w:t>
      </w:r>
    </w:p>
    <w:p w14:paraId="2A473346" w14:textId="77777777" w:rsidR="00C37FDC" w:rsidRPr="009E327C" w:rsidRDefault="00C37FDC" w:rsidP="00136304">
      <w:pPr>
        <w:spacing w:before="120" w:line="360" w:lineRule="auto"/>
        <w:ind w:firstLine="567"/>
        <w:jc w:val="both"/>
      </w:pPr>
      <w:r w:rsidRPr="009E327C">
        <w:t>Data ogłoszenia upadłości została przyjęta jako punkt odniesienia do stosowania przepisów o wynagrodzeniu i zaliczkach. Pozwoli to zachować pewność co do stanu prawnego w zakresie wysokości wynagrodzenia i kosztów na moment objęcia funkcji przez syndyka, a jednocześnie usprawni sądom ogłaszanie upadłości w sprawach w toku w dacie wejścia w życie ustawy</w:t>
      </w:r>
      <w:r w:rsidR="00BE2B03" w:rsidRPr="009E327C">
        <w:t>.</w:t>
      </w:r>
    </w:p>
    <w:p w14:paraId="0886CD6A" w14:textId="77777777" w:rsidR="00C37FDC" w:rsidRPr="009E327C" w:rsidRDefault="00C37FDC" w:rsidP="00136304">
      <w:pPr>
        <w:spacing w:before="120" w:line="360" w:lineRule="auto"/>
        <w:ind w:firstLine="567"/>
        <w:jc w:val="both"/>
      </w:pPr>
      <w:r w:rsidRPr="009E327C">
        <w:t>W przypadkach gdy ogłoszono upadłość przed datą wejścia w życie ustawy</w:t>
      </w:r>
      <w:r w:rsidR="00267E77">
        <w:t>,</w:t>
      </w:r>
      <w:r w:rsidRPr="009E327C">
        <w:t xml:space="preserve"> zastosowanie będą miały przepisy dotychczasowe o wynagrodzeniu syndyka i zaliczce, także w postępowaniach komisarskich, z wyjątkiem przepisów o składzie sądu</w:t>
      </w:r>
      <w:r w:rsidR="00BE2B03" w:rsidRPr="009E327C">
        <w:t>, który będzie orzekał w składzie jednoosobowym</w:t>
      </w:r>
      <w:r w:rsidR="00267E77">
        <w:t>,</w:t>
      </w:r>
      <w:r w:rsidR="00BE2B03" w:rsidRPr="009E327C">
        <w:t xml:space="preserve"> </w:t>
      </w:r>
      <w:r w:rsidRPr="009E327C">
        <w:t>tj. zawsze według nowych przepisów</w:t>
      </w:r>
      <w:r w:rsidR="00F82848">
        <w:t>.</w:t>
      </w:r>
    </w:p>
    <w:p w14:paraId="36830BD6" w14:textId="77777777" w:rsidR="00C37FDC" w:rsidRPr="009E327C" w:rsidRDefault="00C37FDC" w:rsidP="00136304">
      <w:pPr>
        <w:spacing w:before="120" w:line="360" w:lineRule="auto"/>
        <w:ind w:firstLine="567"/>
        <w:jc w:val="both"/>
      </w:pPr>
      <w:r w:rsidRPr="009E327C">
        <w:t>Natomiast gdy ogłoszono upadłość po dacie wejścia w życie ustawy (także na podstawie wniosków złożonych przed datą wejścia w życie ustawy) – do wynagrodzenia syndyka zastosowanie będą miały przepisy nowe.</w:t>
      </w:r>
    </w:p>
    <w:p w14:paraId="5C69F0A6" w14:textId="77777777" w:rsidR="00C37FDC" w:rsidRPr="009E327C" w:rsidRDefault="00C37FDC" w:rsidP="00136304">
      <w:pPr>
        <w:spacing w:before="120" w:line="360" w:lineRule="auto"/>
        <w:ind w:firstLine="567"/>
        <w:jc w:val="both"/>
      </w:pPr>
      <w:r w:rsidRPr="009E327C">
        <w:t xml:space="preserve">Data </w:t>
      </w:r>
      <w:r w:rsidRPr="00534B3F">
        <w:t>ustalenia planu spłaty została przyjęta jako punkt odniesienia do stosowania przepisów o uchylaniu, zamianie i stwierdzaniu wykonania planu spłaty. Celem przepisów przejściowych jest zwolnienie we wszystkich stanach prawnych z nadzorowania wykonywania planów spłaty z urzędu, ale utrzymana została regulacja dotyczą stwierdzania z urzędu przez sąd (referendarza</w:t>
      </w:r>
      <w:r w:rsidRPr="009E327C">
        <w:t xml:space="preserve"> sądowego) wykonania planu spłaty ustalonego przed datą wejścia w życie ustawy. Pozwoli to spójnie uregulować sytuację upadłych i wierzycieli, którzy w chwili ustalania planu spłaty, która miała miejsce przed datą wejścia w życie ustawy, nie byli pouczeni o skutku umorzenia zobowiązań z mocy prawa. Ponadto nowej regulacji obejmującej przepisy o skracaniu okresu wykonywania planu spłaty nie powinno stosować się do upadłych, którzy są w trakcie wykonywania planu spłaty</w:t>
      </w:r>
      <w:r w:rsidR="00BE2B03" w:rsidRPr="009E327C">
        <w:t>.</w:t>
      </w:r>
      <w:r w:rsidRPr="009E327C">
        <w:t xml:space="preserve"> Do tych planów spłaty zastosowanie będą miały przepisy dotychczasowe, z wyjątkiem badania (nadzorowania) sprawozdań przez sądy i możliwości uchylenia planu spłaty z urzędu. Wobec braku pouczenia wierzycieli o skutku umorzenia zobowiązań z mocy prawa sąd zobowiązany będzie zawsze wydać postanowienie o stwierdzeniu wykonania planu spłaty i umorzeniu zobowiązań z urzędu albo na wniosek (wg przepisów dotychczasowych), ale bez narzucenia sądowi</w:t>
      </w:r>
      <w:r w:rsidR="00534B3F">
        <w:t>,</w:t>
      </w:r>
      <w:r w:rsidRPr="009E327C">
        <w:t xml:space="preserve"> w jakim terminie po okresie </w:t>
      </w:r>
      <w:r w:rsidRPr="009E327C">
        <w:lastRenderedPageBreak/>
        <w:t>wykonywania planu spłaty takie orzeczenie ma wydać. Jednocześnie</w:t>
      </w:r>
      <w:r w:rsidR="00534B3F">
        <w:t>,</w:t>
      </w:r>
      <w:r w:rsidRPr="009E327C">
        <w:t xml:space="preserve"> rozpoznając wniosek o stwierdzenie wykonania planu spłaty czy uchylenie albo zmianę planu spłaty, a nawet badając akta sprawy i stwierdzając brak sprawozdania z wykonania planu spłaty, sąd nie będzie podejmował z urzędu żadnych czynności celem uchylenia planu spłaty. Orzeczenia w przedmiocie stwierdzenia wykonania planu spłaty w</w:t>
      </w:r>
      <w:r w:rsidR="00A94E82" w:rsidRPr="009E327C">
        <w:t> </w:t>
      </w:r>
      <w:r w:rsidRPr="009E327C">
        <w:t>tych sprawach będzie mógł wydać referendarz sądowy.</w:t>
      </w:r>
    </w:p>
    <w:p w14:paraId="6741FD53" w14:textId="77777777" w:rsidR="00C37FDC" w:rsidRPr="009E327C" w:rsidRDefault="00C37FDC" w:rsidP="00136304">
      <w:pPr>
        <w:spacing w:before="120" w:line="360" w:lineRule="auto"/>
        <w:ind w:firstLine="567"/>
        <w:jc w:val="both"/>
      </w:pPr>
      <w:r w:rsidRPr="009E327C">
        <w:t>Tym samym</w:t>
      </w:r>
      <w:r w:rsidR="00534B3F">
        <w:t>,</w:t>
      </w:r>
      <w:r w:rsidRPr="009E327C">
        <w:t xml:space="preserve"> gdy ustalono plan spłaty przed datą wejścia w życie ustawy –</w:t>
      </w:r>
      <w:r w:rsidR="00534B3F">
        <w:t xml:space="preserve"> </w:t>
      </w:r>
      <w:r w:rsidRPr="009E327C">
        <w:t>zastosowanie będą miały przepisy dotychczasowe, także w zakresie możliwości skrócenia okresu wykonywania planu spłaty na skutek wcześniejszej spłaty. Zastosowanie mieć będą tylko nowe przepisy o uchyleniu badania sprawozdań i zniesieniu podstawy do uchylania planu spłaty z urzędu</w:t>
      </w:r>
      <w:r w:rsidR="00535042">
        <w:t>.</w:t>
      </w:r>
    </w:p>
    <w:p w14:paraId="69A03E01" w14:textId="77777777" w:rsidR="00C37FDC" w:rsidRPr="009E327C" w:rsidRDefault="00C37FDC" w:rsidP="00136304">
      <w:pPr>
        <w:spacing w:before="120" w:line="360" w:lineRule="auto"/>
        <w:ind w:firstLine="567"/>
        <w:jc w:val="both"/>
      </w:pPr>
      <w:r w:rsidRPr="009E327C">
        <w:t>Natomiast gdy ustalenie planu spłaty będzie miało miejsce po dacie wejścia ustawy w życie</w:t>
      </w:r>
      <w:r w:rsidR="00534B3F">
        <w:t>,</w:t>
      </w:r>
      <w:r w:rsidRPr="009E327C">
        <w:t xml:space="preserve"> zastosowanie będą miały przepisy w brzmieniu nadym przedmiotową ustawą.</w:t>
      </w:r>
    </w:p>
    <w:p w14:paraId="437798EF" w14:textId="77777777" w:rsidR="00C37FDC" w:rsidRPr="009E327C" w:rsidRDefault="00C37FDC" w:rsidP="00136304">
      <w:pPr>
        <w:spacing w:before="120" w:line="360" w:lineRule="auto"/>
        <w:ind w:firstLine="567"/>
        <w:jc w:val="both"/>
      </w:pPr>
      <w:r w:rsidRPr="009E327C">
        <w:t xml:space="preserve">W sprawach w toku </w:t>
      </w:r>
      <w:r w:rsidR="00534B3F">
        <w:t>–</w:t>
      </w:r>
      <w:r w:rsidRPr="009E327C">
        <w:t xml:space="preserve"> złożone przed datą wejścia w życie ustawy wnioski o zmianę, uchylenie planu spłaty, skargi kasacyjne (wnioski i środki zaskarżenia w toku w chwili wejścia w życie ustawy) rozpoznawane </w:t>
      </w:r>
      <w:r w:rsidR="00D465DB" w:rsidRPr="009E327C">
        <w:t>będą</w:t>
      </w:r>
      <w:r w:rsidRPr="009E327C">
        <w:t xml:space="preserve"> według przepisów dotychczasowych</w:t>
      </w:r>
      <w:r w:rsidR="00A94E82" w:rsidRPr="009E327C">
        <w:t xml:space="preserve">. </w:t>
      </w:r>
      <w:r w:rsidRPr="009E327C">
        <w:t>Takie rozwiązanie chroni prawa wierzycieli, którzy zainicjowali powyższe postępowania przed data wejścia w życie ustawy</w:t>
      </w:r>
      <w:r w:rsidR="006E4A48">
        <w:t>,</w:t>
      </w:r>
      <w:r w:rsidRPr="009E327C">
        <w:t xml:space="preserve"> i zapewnia pewność co do stosowania prawa z chwili wszczęcia postępowania o zmianę, uchylenia planu spłaty albo wniesienia środka zaskarżenia.</w:t>
      </w:r>
    </w:p>
    <w:bookmarkEnd w:id="1"/>
    <w:p w14:paraId="5E32EA3B" w14:textId="77777777" w:rsidR="0001407F" w:rsidRPr="009E327C" w:rsidRDefault="00751593" w:rsidP="00136304">
      <w:pPr>
        <w:spacing w:before="120" w:line="360" w:lineRule="auto"/>
        <w:ind w:firstLine="567"/>
        <w:jc w:val="both"/>
      </w:pPr>
      <w:r w:rsidRPr="009E327C">
        <w:t xml:space="preserve">Proponuje się, aby ustawa weszła w życie w terminie </w:t>
      </w:r>
      <w:r w:rsidR="00A93129" w:rsidRPr="009E327C">
        <w:t>30</w:t>
      </w:r>
      <w:r w:rsidRPr="009E327C">
        <w:t xml:space="preserve"> dni od dnia ogłoszenia.</w:t>
      </w:r>
    </w:p>
    <w:p w14:paraId="6250B85E" w14:textId="77777777" w:rsidR="00DE19F3" w:rsidRPr="009E327C" w:rsidRDefault="00751593" w:rsidP="00136304">
      <w:pPr>
        <w:spacing w:before="120" w:line="360" w:lineRule="auto"/>
        <w:ind w:firstLine="567"/>
        <w:jc w:val="both"/>
        <w:rPr>
          <w:b/>
          <w:bCs/>
        </w:rPr>
      </w:pPr>
      <w:r w:rsidRPr="009E327C">
        <w:t>Projekt wpłynie na przedsiębiorców będących wierzycielami lub dłużnikami. Umorzenie zobowiązań upadłego nastąpi z upływem trzeciego miesiąca od upływu okresu, na który został ustalony plan spłaty wierzycieli. Wierzyciele będą mieli możliwość wnoszenia do sądu o zmianę lub uchylenie planu spłaty nie tylko w okresie realizacji planu, ale również w ciągu dodatkowych trzech miesięcy od upływu okresu, na który plan ustalono. W razie wcześniejszej spłaty wierzycieli w zakresie objętym planem spłaty wierzycieli, upadły będzie mógł wystąpić z wnioskiem o zmianę planu spłaty poprzez skrócenie okresu wykonania planu. W razie oddalenia wniosku wierzyciela o zmianę planu spłaty wierzycieli w stosunku do dłużnika, który nie złożył w terminie rocznego sprawozdania na temat swojej sytuacji majątkowej i zawodowej, kosztami sądowymi obciążony zostanie dłużnik. Niezłożenie przez upadłego rocznego sprawozdania na temat jego sytuacji majątkowej i zawodowej nie będzie samodzielną podstawą uchylenia planu spłaty.</w:t>
      </w:r>
    </w:p>
    <w:p w14:paraId="4DBDCD4F" w14:textId="77777777" w:rsidR="00751593" w:rsidRPr="009E327C" w:rsidRDefault="00751593" w:rsidP="00136304">
      <w:pPr>
        <w:spacing w:before="120" w:line="360" w:lineRule="auto"/>
        <w:ind w:firstLine="567"/>
        <w:jc w:val="both"/>
        <w:rPr>
          <w:b/>
          <w:bCs/>
        </w:rPr>
      </w:pPr>
      <w:r w:rsidRPr="009E327C">
        <w:lastRenderedPageBreak/>
        <w:t>Projekt ustawy jest zgodny z prawem Unii Europejskiej. Jednocześnie projekt nie wymaga przedstawienia właściwym organom i instytucjom Unii Europejskiej, w tym Europejskiemu Bankowi Centralnemu, w celu uzyskania opinii, dokonania powiadomienia, konsultacji albo uzgodnienia.</w:t>
      </w:r>
    </w:p>
    <w:p w14:paraId="057A1D67" w14:textId="77777777" w:rsidR="00751593" w:rsidRPr="009E327C" w:rsidRDefault="00751593" w:rsidP="00136304">
      <w:pPr>
        <w:keepNext/>
        <w:suppressAutoHyphens/>
        <w:autoSpaceDE w:val="0"/>
        <w:autoSpaceDN w:val="0"/>
        <w:adjustRightInd w:val="0"/>
        <w:spacing w:before="120" w:line="360" w:lineRule="auto"/>
        <w:ind w:firstLine="567"/>
        <w:jc w:val="both"/>
      </w:pPr>
      <w:r w:rsidRPr="009E327C">
        <w:t>Projektowana ustawa zgodnie § 4 rozporządzenia Rady Ministrów z dnia 23 grudnia 2002 r. w sprawie funkcjonowania krajowego systemu notyfikacji norm i aktów prawnych (Dz. U. poz. 2039 oraz z 2004 r. poz. 597) nie podlega notyfikacji Komisji Europejskiej.</w:t>
      </w:r>
    </w:p>
    <w:p w14:paraId="38C6B9C2" w14:textId="77777777" w:rsidR="00780189" w:rsidRPr="009E327C" w:rsidRDefault="00751593" w:rsidP="00136304">
      <w:pPr>
        <w:keepNext/>
        <w:suppressAutoHyphens/>
        <w:autoSpaceDE w:val="0"/>
        <w:autoSpaceDN w:val="0"/>
        <w:adjustRightInd w:val="0"/>
        <w:spacing w:before="120" w:line="360" w:lineRule="auto"/>
        <w:ind w:firstLine="567"/>
        <w:jc w:val="both"/>
      </w:pPr>
      <w:r w:rsidRPr="009E327C">
        <w:t>Zgodnie z art. 5 ustawy z dnia 7 lipca 2005 r. o działalności lobbingowej w procesie stanowienia prawa (Dz. U. z 202</w:t>
      </w:r>
      <w:r w:rsidR="008E25A5">
        <w:t>6</w:t>
      </w:r>
      <w:r w:rsidRPr="009E327C">
        <w:t xml:space="preserve"> r. poz. </w:t>
      </w:r>
      <w:r w:rsidR="008E25A5">
        <w:t>936</w:t>
      </w:r>
      <w:r w:rsidRPr="009E327C">
        <w:t xml:space="preserve">) projekt został udostępniony w Biuletynie Informacji Publicznej na stronie podmiotowej Rządowego Centrum Legislacji, w serwisie </w:t>
      </w:r>
      <w:r w:rsidR="008E25A5">
        <w:t>„</w:t>
      </w:r>
      <w:r w:rsidRPr="009E327C">
        <w:t>Rządowy Proces Legislacyjny</w:t>
      </w:r>
      <w:r w:rsidR="008E25A5">
        <w:t>”</w:t>
      </w:r>
      <w:r w:rsidRPr="009E327C">
        <w:t xml:space="preserve"> oraz na stronach internetowych Ministerstwa Sprawiedliwości</w:t>
      </w:r>
      <w:r w:rsidR="00A87448" w:rsidRPr="009E327C">
        <w:t>.</w:t>
      </w:r>
    </w:p>
    <w:sectPr w:rsidR="00780189" w:rsidRPr="009E327C" w:rsidSect="009E327C">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E5C3F" w14:textId="77777777" w:rsidR="00FD5254" w:rsidRDefault="00FD5254" w:rsidP="002752A6">
      <w:r>
        <w:separator/>
      </w:r>
    </w:p>
  </w:endnote>
  <w:endnote w:type="continuationSeparator" w:id="0">
    <w:p w14:paraId="489217C7" w14:textId="77777777" w:rsidR="00FD5254" w:rsidRDefault="00FD5254" w:rsidP="00275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8F5ED" w14:textId="77777777" w:rsidR="00ED63E2" w:rsidRDefault="00ED63E2" w:rsidP="009E327C">
    <w:pPr>
      <w:pStyle w:val="Stopka"/>
      <w:jc w:val="center"/>
    </w:pPr>
    <w:r>
      <w:fldChar w:fldCharType="begin"/>
    </w:r>
    <w:r>
      <w:instrText>PAGE   \* MERGEFORMAT</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F0E3E" w14:textId="77777777" w:rsidR="00FD5254" w:rsidRDefault="00FD5254" w:rsidP="002752A6">
      <w:r>
        <w:separator/>
      </w:r>
    </w:p>
  </w:footnote>
  <w:footnote w:type="continuationSeparator" w:id="0">
    <w:p w14:paraId="0CA0C603" w14:textId="77777777" w:rsidR="00FD5254" w:rsidRDefault="00FD5254" w:rsidP="002752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6AA9"/>
    <w:multiLevelType w:val="hybridMultilevel"/>
    <w:tmpl w:val="E4F63E6A"/>
    <w:lvl w:ilvl="0" w:tplc="8F58C646">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16cid:durableId="1624845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4F9"/>
    <w:rsid w:val="0001407F"/>
    <w:rsid w:val="000226FA"/>
    <w:rsid w:val="0002483F"/>
    <w:rsid w:val="00031F62"/>
    <w:rsid w:val="000341E0"/>
    <w:rsid w:val="00093572"/>
    <w:rsid w:val="00094963"/>
    <w:rsid w:val="000A1A9C"/>
    <w:rsid w:val="000D38A1"/>
    <w:rsid w:val="000E4A1B"/>
    <w:rsid w:val="001034F9"/>
    <w:rsid w:val="001173FA"/>
    <w:rsid w:val="00124814"/>
    <w:rsid w:val="00136304"/>
    <w:rsid w:val="001751D6"/>
    <w:rsid w:val="00186028"/>
    <w:rsid w:val="0019199E"/>
    <w:rsid w:val="00193B9F"/>
    <w:rsid w:val="00196E8C"/>
    <w:rsid w:val="001A0AC4"/>
    <w:rsid w:val="001A171A"/>
    <w:rsid w:val="001B7641"/>
    <w:rsid w:val="001C518A"/>
    <w:rsid w:val="001D5901"/>
    <w:rsid w:val="001F2CBB"/>
    <w:rsid w:val="001F759C"/>
    <w:rsid w:val="00202157"/>
    <w:rsid w:val="002048F8"/>
    <w:rsid w:val="00213BDC"/>
    <w:rsid w:val="0022069F"/>
    <w:rsid w:val="0024656B"/>
    <w:rsid w:val="002615D2"/>
    <w:rsid w:val="00267E77"/>
    <w:rsid w:val="002752A6"/>
    <w:rsid w:val="0029240D"/>
    <w:rsid w:val="00320F89"/>
    <w:rsid w:val="00350150"/>
    <w:rsid w:val="00371678"/>
    <w:rsid w:val="00382249"/>
    <w:rsid w:val="003C4A01"/>
    <w:rsid w:val="00410E70"/>
    <w:rsid w:val="00411324"/>
    <w:rsid w:val="00463EE0"/>
    <w:rsid w:val="004722F4"/>
    <w:rsid w:val="004749CC"/>
    <w:rsid w:val="0049441C"/>
    <w:rsid w:val="0049697E"/>
    <w:rsid w:val="00497083"/>
    <w:rsid w:val="004A2123"/>
    <w:rsid w:val="004A54BE"/>
    <w:rsid w:val="004A68C6"/>
    <w:rsid w:val="004C706B"/>
    <w:rsid w:val="004D736B"/>
    <w:rsid w:val="004E6D35"/>
    <w:rsid w:val="004F71F0"/>
    <w:rsid w:val="00530E01"/>
    <w:rsid w:val="00534B3F"/>
    <w:rsid w:val="00535042"/>
    <w:rsid w:val="00551D43"/>
    <w:rsid w:val="00586B02"/>
    <w:rsid w:val="005A07B9"/>
    <w:rsid w:val="005D4479"/>
    <w:rsid w:val="005E3FDA"/>
    <w:rsid w:val="005E571E"/>
    <w:rsid w:val="005F2813"/>
    <w:rsid w:val="00610090"/>
    <w:rsid w:val="0061347F"/>
    <w:rsid w:val="00662196"/>
    <w:rsid w:val="006631A7"/>
    <w:rsid w:val="00665443"/>
    <w:rsid w:val="006701A5"/>
    <w:rsid w:val="00695B75"/>
    <w:rsid w:val="006E4A48"/>
    <w:rsid w:val="006F2FE6"/>
    <w:rsid w:val="00720D51"/>
    <w:rsid w:val="00735ABF"/>
    <w:rsid w:val="007441B3"/>
    <w:rsid w:val="00751593"/>
    <w:rsid w:val="00764084"/>
    <w:rsid w:val="007701A1"/>
    <w:rsid w:val="00780189"/>
    <w:rsid w:val="00793709"/>
    <w:rsid w:val="007A509A"/>
    <w:rsid w:val="007C0FC2"/>
    <w:rsid w:val="007C3A9E"/>
    <w:rsid w:val="007D1DA3"/>
    <w:rsid w:val="007F0B5F"/>
    <w:rsid w:val="008104EF"/>
    <w:rsid w:val="0082615E"/>
    <w:rsid w:val="0083314C"/>
    <w:rsid w:val="00856C11"/>
    <w:rsid w:val="00886EF2"/>
    <w:rsid w:val="008A250F"/>
    <w:rsid w:val="008A38A4"/>
    <w:rsid w:val="008A5FD6"/>
    <w:rsid w:val="008B22DE"/>
    <w:rsid w:val="008D1D7D"/>
    <w:rsid w:val="008D2A0E"/>
    <w:rsid w:val="008D436D"/>
    <w:rsid w:val="008E25A5"/>
    <w:rsid w:val="0090229C"/>
    <w:rsid w:val="00925920"/>
    <w:rsid w:val="009308F1"/>
    <w:rsid w:val="009321AF"/>
    <w:rsid w:val="009436D9"/>
    <w:rsid w:val="009458E1"/>
    <w:rsid w:val="009C67E5"/>
    <w:rsid w:val="009E327C"/>
    <w:rsid w:val="00A14D7D"/>
    <w:rsid w:val="00A44CF0"/>
    <w:rsid w:val="00A44D13"/>
    <w:rsid w:val="00A525E5"/>
    <w:rsid w:val="00A87448"/>
    <w:rsid w:val="00A918F9"/>
    <w:rsid w:val="00A93129"/>
    <w:rsid w:val="00A934D7"/>
    <w:rsid w:val="00A94E82"/>
    <w:rsid w:val="00AE582B"/>
    <w:rsid w:val="00AE64FE"/>
    <w:rsid w:val="00B40C75"/>
    <w:rsid w:val="00B46300"/>
    <w:rsid w:val="00B75D56"/>
    <w:rsid w:val="00B83AD9"/>
    <w:rsid w:val="00B96E66"/>
    <w:rsid w:val="00BE2B03"/>
    <w:rsid w:val="00BF2F3D"/>
    <w:rsid w:val="00C25171"/>
    <w:rsid w:val="00C31EE7"/>
    <w:rsid w:val="00C37FDC"/>
    <w:rsid w:val="00C40162"/>
    <w:rsid w:val="00C710E7"/>
    <w:rsid w:val="00C720BD"/>
    <w:rsid w:val="00C74988"/>
    <w:rsid w:val="00C8258C"/>
    <w:rsid w:val="00C82E72"/>
    <w:rsid w:val="00C87C86"/>
    <w:rsid w:val="00C93EEE"/>
    <w:rsid w:val="00CC69FC"/>
    <w:rsid w:val="00CD269F"/>
    <w:rsid w:val="00CD7EE2"/>
    <w:rsid w:val="00CF04A3"/>
    <w:rsid w:val="00D300D3"/>
    <w:rsid w:val="00D407F1"/>
    <w:rsid w:val="00D465DB"/>
    <w:rsid w:val="00D7292E"/>
    <w:rsid w:val="00D856FD"/>
    <w:rsid w:val="00D86A8F"/>
    <w:rsid w:val="00D926CB"/>
    <w:rsid w:val="00D934AD"/>
    <w:rsid w:val="00D942FB"/>
    <w:rsid w:val="00DA5CA0"/>
    <w:rsid w:val="00DB43DE"/>
    <w:rsid w:val="00DC26B0"/>
    <w:rsid w:val="00DC7DE3"/>
    <w:rsid w:val="00DE19F3"/>
    <w:rsid w:val="00DE372D"/>
    <w:rsid w:val="00E14660"/>
    <w:rsid w:val="00E21D13"/>
    <w:rsid w:val="00E25EA5"/>
    <w:rsid w:val="00E4568C"/>
    <w:rsid w:val="00EB2758"/>
    <w:rsid w:val="00ED63E2"/>
    <w:rsid w:val="00EF07B2"/>
    <w:rsid w:val="00EF1991"/>
    <w:rsid w:val="00F07DD2"/>
    <w:rsid w:val="00F22EB8"/>
    <w:rsid w:val="00F57FBC"/>
    <w:rsid w:val="00F72309"/>
    <w:rsid w:val="00F74492"/>
    <w:rsid w:val="00F74EE7"/>
    <w:rsid w:val="00F82848"/>
    <w:rsid w:val="00F905CB"/>
    <w:rsid w:val="00F9308B"/>
    <w:rsid w:val="00FA1FE7"/>
    <w:rsid w:val="00FB237A"/>
    <w:rsid w:val="00FD5254"/>
    <w:rsid w:val="00FF35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5E0D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E4A1B"/>
    <w:rPr>
      <w:rFonts w:ascii="Times New Roman" w:eastAsia="Times New Roman" w:hAnsi="Times New Roman"/>
      <w:sz w:val="24"/>
      <w:szCs w:val="24"/>
    </w:rPr>
  </w:style>
  <w:style w:type="paragraph" w:styleId="Nagwek1">
    <w:name w:val="heading 1"/>
    <w:basedOn w:val="Normalny"/>
    <w:next w:val="Normalny"/>
    <w:link w:val="Nagwek1Znak"/>
    <w:uiPriority w:val="9"/>
    <w:qFormat/>
    <w:rsid w:val="001034F9"/>
    <w:pPr>
      <w:keepNext/>
      <w:keepLines/>
      <w:spacing w:before="360" w:after="80"/>
      <w:outlineLvl w:val="0"/>
    </w:pPr>
    <w:rPr>
      <w:rFonts w:ascii="Aptos Display" w:hAnsi="Aptos Display"/>
      <w:color w:val="0F4761"/>
      <w:sz w:val="40"/>
      <w:szCs w:val="40"/>
    </w:rPr>
  </w:style>
  <w:style w:type="paragraph" w:styleId="Nagwek2">
    <w:name w:val="heading 2"/>
    <w:basedOn w:val="Normalny"/>
    <w:next w:val="Normalny"/>
    <w:link w:val="Nagwek2Znak"/>
    <w:uiPriority w:val="9"/>
    <w:semiHidden/>
    <w:unhideWhenUsed/>
    <w:qFormat/>
    <w:rsid w:val="001034F9"/>
    <w:pPr>
      <w:keepNext/>
      <w:keepLines/>
      <w:spacing w:before="160" w:after="80"/>
      <w:outlineLvl w:val="1"/>
    </w:pPr>
    <w:rPr>
      <w:rFonts w:ascii="Aptos Display" w:hAnsi="Aptos Display"/>
      <w:color w:val="0F4761"/>
      <w:sz w:val="32"/>
      <w:szCs w:val="32"/>
    </w:rPr>
  </w:style>
  <w:style w:type="paragraph" w:styleId="Nagwek3">
    <w:name w:val="heading 3"/>
    <w:basedOn w:val="Normalny"/>
    <w:next w:val="Normalny"/>
    <w:link w:val="Nagwek3Znak"/>
    <w:uiPriority w:val="9"/>
    <w:semiHidden/>
    <w:unhideWhenUsed/>
    <w:qFormat/>
    <w:rsid w:val="001034F9"/>
    <w:pPr>
      <w:keepNext/>
      <w:keepLines/>
      <w:spacing w:before="160" w:after="80"/>
      <w:outlineLvl w:val="2"/>
    </w:pPr>
    <w:rPr>
      <w:color w:val="0F4761"/>
      <w:sz w:val="28"/>
      <w:szCs w:val="28"/>
    </w:rPr>
  </w:style>
  <w:style w:type="paragraph" w:styleId="Nagwek4">
    <w:name w:val="heading 4"/>
    <w:basedOn w:val="Normalny"/>
    <w:next w:val="Normalny"/>
    <w:link w:val="Nagwek4Znak"/>
    <w:uiPriority w:val="9"/>
    <w:semiHidden/>
    <w:unhideWhenUsed/>
    <w:qFormat/>
    <w:rsid w:val="001034F9"/>
    <w:pPr>
      <w:keepNext/>
      <w:keepLines/>
      <w:spacing w:before="80" w:after="40"/>
      <w:outlineLvl w:val="3"/>
    </w:pPr>
    <w:rPr>
      <w:i/>
      <w:iCs/>
      <w:color w:val="0F4761"/>
    </w:rPr>
  </w:style>
  <w:style w:type="paragraph" w:styleId="Nagwek5">
    <w:name w:val="heading 5"/>
    <w:basedOn w:val="Normalny"/>
    <w:next w:val="Normalny"/>
    <w:link w:val="Nagwek5Znak"/>
    <w:uiPriority w:val="9"/>
    <w:semiHidden/>
    <w:unhideWhenUsed/>
    <w:qFormat/>
    <w:rsid w:val="001034F9"/>
    <w:pPr>
      <w:keepNext/>
      <w:keepLines/>
      <w:spacing w:before="80" w:after="40"/>
      <w:outlineLvl w:val="4"/>
    </w:pPr>
    <w:rPr>
      <w:color w:val="0F4761"/>
    </w:rPr>
  </w:style>
  <w:style w:type="paragraph" w:styleId="Nagwek6">
    <w:name w:val="heading 6"/>
    <w:basedOn w:val="Normalny"/>
    <w:next w:val="Normalny"/>
    <w:link w:val="Nagwek6Znak"/>
    <w:uiPriority w:val="9"/>
    <w:semiHidden/>
    <w:unhideWhenUsed/>
    <w:qFormat/>
    <w:rsid w:val="001034F9"/>
    <w:pPr>
      <w:keepNext/>
      <w:keepLines/>
      <w:spacing w:before="40"/>
      <w:outlineLvl w:val="5"/>
    </w:pPr>
    <w:rPr>
      <w:i/>
      <w:iCs/>
      <w:color w:val="595959"/>
    </w:rPr>
  </w:style>
  <w:style w:type="paragraph" w:styleId="Nagwek7">
    <w:name w:val="heading 7"/>
    <w:basedOn w:val="Normalny"/>
    <w:next w:val="Normalny"/>
    <w:link w:val="Nagwek7Znak"/>
    <w:uiPriority w:val="9"/>
    <w:semiHidden/>
    <w:unhideWhenUsed/>
    <w:qFormat/>
    <w:rsid w:val="001034F9"/>
    <w:pPr>
      <w:keepNext/>
      <w:keepLines/>
      <w:spacing w:before="40"/>
      <w:outlineLvl w:val="6"/>
    </w:pPr>
    <w:rPr>
      <w:color w:val="595959"/>
    </w:rPr>
  </w:style>
  <w:style w:type="paragraph" w:styleId="Nagwek8">
    <w:name w:val="heading 8"/>
    <w:basedOn w:val="Normalny"/>
    <w:next w:val="Normalny"/>
    <w:link w:val="Nagwek8Znak"/>
    <w:uiPriority w:val="9"/>
    <w:semiHidden/>
    <w:unhideWhenUsed/>
    <w:qFormat/>
    <w:rsid w:val="001034F9"/>
    <w:pPr>
      <w:keepNext/>
      <w:keepLines/>
      <w:outlineLvl w:val="7"/>
    </w:pPr>
    <w:rPr>
      <w:i/>
      <w:iCs/>
      <w:color w:val="272727"/>
    </w:rPr>
  </w:style>
  <w:style w:type="paragraph" w:styleId="Nagwek9">
    <w:name w:val="heading 9"/>
    <w:basedOn w:val="Normalny"/>
    <w:next w:val="Normalny"/>
    <w:link w:val="Nagwek9Znak"/>
    <w:uiPriority w:val="9"/>
    <w:semiHidden/>
    <w:unhideWhenUsed/>
    <w:qFormat/>
    <w:rsid w:val="001034F9"/>
    <w:pPr>
      <w:keepNext/>
      <w:keepLines/>
      <w:outlineLvl w:val="8"/>
    </w:pPr>
    <w:rPr>
      <w:color w:val="2727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1034F9"/>
    <w:rPr>
      <w:rFonts w:ascii="Aptos Display" w:eastAsia="Times New Roman" w:hAnsi="Aptos Display" w:cs="Times New Roman"/>
      <w:color w:val="0F4761"/>
      <w:sz w:val="40"/>
      <w:szCs w:val="40"/>
    </w:rPr>
  </w:style>
  <w:style w:type="character" w:customStyle="1" w:styleId="Nagwek2Znak">
    <w:name w:val="Nagłówek 2 Znak"/>
    <w:link w:val="Nagwek2"/>
    <w:uiPriority w:val="9"/>
    <w:semiHidden/>
    <w:rsid w:val="001034F9"/>
    <w:rPr>
      <w:rFonts w:ascii="Aptos Display" w:eastAsia="Times New Roman" w:hAnsi="Aptos Display" w:cs="Times New Roman"/>
      <w:color w:val="0F4761"/>
      <w:sz w:val="32"/>
      <w:szCs w:val="32"/>
    </w:rPr>
  </w:style>
  <w:style w:type="character" w:customStyle="1" w:styleId="Nagwek3Znak">
    <w:name w:val="Nagłówek 3 Znak"/>
    <w:link w:val="Nagwek3"/>
    <w:uiPriority w:val="9"/>
    <w:semiHidden/>
    <w:rsid w:val="001034F9"/>
    <w:rPr>
      <w:rFonts w:eastAsia="Times New Roman" w:cs="Times New Roman"/>
      <w:color w:val="0F4761"/>
      <w:sz w:val="28"/>
      <w:szCs w:val="28"/>
    </w:rPr>
  </w:style>
  <w:style w:type="character" w:customStyle="1" w:styleId="Nagwek4Znak">
    <w:name w:val="Nagłówek 4 Znak"/>
    <w:link w:val="Nagwek4"/>
    <w:uiPriority w:val="9"/>
    <w:semiHidden/>
    <w:rsid w:val="001034F9"/>
    <w:rPr>
      <w:rFonts w:eastAsia="Times New Roman" w:cs="Times New Roman"/>
      <w:i/>
      <w:iCs/>
      <w:color w:val="0F4761"/>
    </w:rPr>
  </w:style>
  <w:style w:type="character" w:customStyle="1" w:styleId="Nagwek5Znak">
    <w:name w:val="Nagłówek 5 Znak"/>
    <w:link w:val="Nagwek5"/>
    <w:uiPriority w:val="9"/>
    <w:semiHidden/>
    <w:rsid w:val="001034F9"/>
    <w:rPr>
      <w:rFonts w:eastAsia="Times New Roman" w:cs="Times New Roman"/>
      <w:color w:val="0F4761"/>
    </w:rPr>
  </w:style>
  <w:style w:type="character" w:customStyle="1" w:styleId="Nagwek6Znak">
    <w:name w:val="Nagłówek 6 Znak"/>
    <w:link w:val="Nagwek6"/>
    <w:uiPriority w:val="9"/>
    <w:semiHidden/>
    <w:rsid w:val="001034F9"/>
    <w:rPr>
      <w:rFonts w:eastAsia="Times New Roman" w:cs="Times New Roman"/>
      <w:i/>
      <w:iCs/>
      <w:color w:val="595959"/>
    </w:rPr>
  </w:style>
  <w:style w:type="character" w:customStyle="1" w:styleId="Nagwek7Znak">
    <w:name w:val="Nagłówek 7 Znak"/>
    <w:link w:val="Nagwek7"/>
    <w:uiPriority w:val="9"/>
    <w:semiHidden/>
    <w:rsid w:val="001034F9"/>
    <w:rPr>
      <w:rFonts w:eastAsia="Times New Roman" w:cs="Times New Roman"/>
      <w:color w:val="595959"/>
    </w:rPr>
  </w:style>
  <w:style w:type="character" w:customStyle="1" w:styleId="Nagwek8Znak">
    <w:name w:val="Nagłówek 8 Znak"/>
    <w:link w:val="Nagwek8"/>
    <w:uiPriority w:val="9"/>
    <w:semiHidden/>
    <w:rsid w:val="001034F9"/>
    <w:rPr>
      <w:rFonts w:eastAsia="Times New Roman" w:cs="Times New Roman"/>
      <w:i/>
      <w:iCs/>
      <w:color w:val="272727"/>
    </w:rPr>
  </w:style>
  <w:style w:type="character" w:customStyle="1" w:styleId="Nagwek9Znak">
    <w:name w:val="Nagłówek 9 Znak"/>
    <w:link w:val="Nagwek9"/>
    <w:uiPriority w:val="9"/>
    <w:semiHidden/>
    <w:rsid w:val="001034F9"/>
    <w:rPr>
      <w:rFonts w:eastAsia="Times New Roman" w:cs="Times New Roman"/>
      <w:color w:val="272727"/>
    </w:rPr>
  </w:style>
  <w:style w:type="paragraph" w:styleId="Tytu">
    <w:name w:val="Title"/>
    <w:basedOn w:val="Normalny"/>
    <w:next w:val="Normalny"/>
    <w:link w:val="TytuZnak"/>
    <w:uiPriority w:val="10"/>
    <w:qFormat/>
    <w:rsid w:val="001034F9"/>
    <w:pPr>
      <w:spacing w:after="80"/>
      <w:contextualSpacing/>
    </w:pPr>
    <w:rPr>
      <w:rFonts w:ascii="Aptos Display" w:hAnsi="Aptos Display"/>
      <w:spacing w:val="-10"/>
      <w:kern w:val="28"/>
      <w:sz w:val="56"/>
      <w:szCs w:val="56"/>
    </w:rPr>
  </w:style>
  <w:style w:type="character" w:customStyle="1" w:styleId="TytuZnak">
    <w:name w:val="Tytuł Znak"/>
    <w:link w:val="Tytu"/>
    <w:uiPriority w:val="10"/>
    <w:rsid w:val="001034F9"/>
    <w:rPr>
      <w:rFonts w:ascii="Aptos Display" w:eastAsia="Times New Roman" w:hAnsi="Aptos Display" w:cs="Times New Roman"/>
      <w:spacing w:val="-10"/>
      <w:kern w:val="28"/>
      <w:sz w:val="56"/>
      <w:szCs w:val="56"/>
    </w:rPr>
  </w:style>
  <w:style w:type="paragraph" w:styleId="Podtytu">
    <w:name w:val="Subtitle"/>
    <w:basedOn w:val="Normalny"/>
    <w:next w:val="Normalny"/>
    <w:link w:val="PodtytuZnak"/>
    <w:uiPriority w:val="11"/>
    <w:qFormat/>
    <w:rsid w:val="001034F9"/>
    <w:pPr>
      <w:numPr>
        <w:ilvl w:val="1"/>
      </w:numPr>
    </w:pPr>
    <w:rPr>
      <w:color w:val="595959"/>
      <w:spacing w:val="15"/>
      <w:sz w:val="28"/>
      <w:szCs w:val="28"/>
    </w:rPr>
  </w:style>
  <w:style w:type="character" w:customStyle="1" w:styleId="PodtytuZnak">
    <w:name w:val="Podtytuł Znak"/>
    <w:link w:val="Podtytu"/>
    <w:uiPriority w:val="11"/>
    <w:rsid w:val="001034F9"/>
    <w:rPr>
      <w:rFonts w:eastAsia="Times New Roman" w:cs="Times New Roman"/>
      <w:color w:val="595959"/>
      <w:spacing w:val="15"/>
      <w:sz w:val="28"/>
      <w:szCs w:val="28"/>
    </w:rPr>
  </w:style>
  <w:style w:type="paragraph" w:styleId="Cytat">
    <w:name w:val="Quote"/>
    <w:basedOn w:val="Normalny"/>
    <w:next w:val="Normalny"/>
    <w:link w:val="CytatZnak"/>
    <w:uiPriority w:val="29"/>
    <w:qFormat/>
    <w:rsid w:val="001034F9"/>
    <w:pPr>
      <w:spacing w:before="160"/>
      <w:jc w:val="center"/>
    </w:pPr>
    <w:rPr>
      <w:i/>
      <w:iCs/>
      <w:color w:val="404040"/>
    </w:rPr>
  </w:style>
  <w:style w:type="character" w:customStyle="1" w:styleId="CytatZnak">
    <w:name w:val="Cytat Znak"/>
    <w:link w:val="Cytat"/>
    <w:uiPriority w:val="29"/>
    <w:rsid w:val="001034F9"/>
    <w:rPr>
      <w:i/>
      <w:iCs/>
      <w:color w:val="404040"/>
    </w:rPr>
  </w:style>
  <w:style w:type="paragraph" w:styleId="Akapitzlist">
    <w:name w:val="List Paragraph"/>
    <w:basedOn w:val="Normalny"/>
    <w:uiPriority w:val="34"/>
    <w:qFormat/>
    <w:rsid w:val="001034F9"/>
    <w:pPr>
      <w:ind w:left="720"/>
      <w:contextualSpacing/>
    </w:pPr>
  </w:style>
  <w:style w:type="character" w:styleId="Wyrnienieintensywne">
    <w:name w:val="Intense Emphasis"/>
    <w:uiPriority w:val="21"/>
    <w:qFormat/>
    <w:rsid w:val="001034F9"/>
    <w:rPr>
      <w:i/>
      <w:iCs/>
      <w:color w:val="0F4761"/>
    </w:rPr>
  </w:style>
  <w:style w:type="paragraph" w:styleId="Cytatintensywny">
    <w:name w:val="Intense Quote"/>
    <w:basedOn w:val="Normalny"/>
    <w:next w:val="Normalny"/>
    <w:link w:val="CytatintensywnyZnak"/>
    <w:uiPriority w:val="30"/>
    <w:qFormat/>
    <w:rsid w:val="001034F9"/>
    <w:pPr>
      <w:pBdr>
        <w:top w:val="single" w:sz="4" w:space="10" w:color="0F4761"/>
        <w:bottom w:val="single" w:sz="4" w:space="10" w:color="0F4761"/>
      </w:pBdr>
      <w:spacing w:before="360" w:after="360"/>
      <w:ind w:left="864" w:right="864"/>
      <w:jc w:val="center"/>
    </w:pPr>
    <w:rPr>
      <w:i/>
      <w:iCs/>
      <w:color w:val="0F4761"/>
    </w:rPr>
  </w:style>
  <w:style w:type="character" w:customStyle="1" w:styleId="CytatintensywnyZnak">
    <w:name w:val="Cytat intensywny Znak"/>
    <w:link w:val="Cytatintensywny"/>
    <w:uiPriority w:val="30"/>
    <w:rsid w:val="001034F9"/>
    <w:rPr>
      <w:i/>
      <w:iCs/>
      <w:color w:val="0F4761"/>
    </w:rPr>
  </w:style>
  <w:style w:type="character" w:styleId="Odwoanieintensywne">
    <w:name w:val="Intense Reference"/>
    <w:uiPriority w:val="32"/>
    <w:qFormat/>
    <w:rsid w:val="001034F9"/>
    <w:rPr>
      <w:b/>
      <w:bCs/>
      <w:smallCaps/>
      <w:color w:val="0F4761"/>
      <w:spacing w:val="5"/>
    </w:rPr>
  </w:style>
  <w:style w:type="character" w:customStyle="1" w:styleId="IGindeksgrny">
    <w:name w:val="_IG_ – indeks górny"/>
    <w:uiPriority w:val="2"/>
    <w:qFormat/>
    <w:rsid w:val="00382249"/>
    <w:rPr>
      <w:b w:val="0"/>
      <w:i w:val="0"/>
      <w:vanish w:val="0"/>
      <w:spacing w:val="0"/>
      <w:vertAlign w:val="superscript"/>
    </w:rPr>
  </w:style>
  <w:style w:type="paragraph" w:customStyle="1" w:styleId="USTustnpkodeksu">
    <w:name w:val="UST(§) – ust. (§ np. kodeksu)"/>
    <w:basedOn w:val="Normalny"/>
    <w:uiPriority w:val="12"/>
    <w:qFormat/>
    <w:rsid w:val="00382249"/>
    <w:pPr>
      <w:suppressAutoHyphens/>
      <w:autoSpaceDE w:val="0"/>
      <w:autoSpaceDN w:val="0"/>
      <w:adjustRightInd w:val="0"/>
      <w:spacing w:line="360" w:lineRule="auto"/>
      <w:ind w:firstLine="510"/>
      <w:jc w:val="both"/>
    </w:pPr>
    <w:rPr>
      <w:rFonts w:ascii="Times" w:hAnsi="Times" w:cs="Arial"/>
      <w:bCs/>
      <w:szCs w:val="20"/>
    </w:rPr>
  </w:style>
  <w:style w:type="paragraph" w:styleId="Poprawka">
    <w:name w:val="Revision"/>
    <w:hidden/>
    <w:uiPriority w:val="99"/>
    <w:semiHidden/>
    <w:rsid w:val="00031F62"/>
    <w:rPr>
      <w:rFonts w:ascii="Times New Roman" w:eastAsia="Times New Roman" w:hAnsi="Times New Roman"/>
      <w:sz w:val="24"/>
      <w:szCs w:val="24"/>
    </w:rPr>
  </w:style>
  <w:style w:type="paragraph" w:styleId="Tekstprzypisudolnego">
    <w:name w:val="footnote text"/>
    <w:basedOn w:val="Normalny"/>
    <w:link w:val="TekstprzypisudolnegoZnak"/>
    <w:uiPriority w:val="99"/>
    <w:semiHidden/>
    <w:unhideWhenUsed/>
    <w:rsid w:val="002752A6"/>
    <w:rPr>
      <w:sz w:val="20"/>
      <w:szCs w:val="20"/>
    </w:rPr>
  </w:style>
  <w:style w:type="character" w:customStyle="1" w:styleId="TekstprzypisudolnegoZnak">
    <w:name w:val="Tekst przypisu dolnego Znak"/>
    <w:link w:val="Tekstprzypisudolnego"/>
    <w:uiPriority w:val="99"/>
    <w:semiHidden/>
    <w:rsid w:val="002752A6"/>
    <w:rPr>
      <w:rFonts w:ascii="Times New Roman" w:eastAsia="Times New Roman" w:hAnsi="Times New Roman"/>
    </w:rPr>
  </w:style>
  <w:style w:type="character" w:styleId="Odwoanieprzypisudolnego">
    <w:name w:val="footnote reference"/>
    <w:uiPriority w:val="99"/>
    <w:semiHidden/>
    <w:unhideWhenUsed/>
    <w:rsid w:val="002752A6"/>
    <w:rPr>
      <w:vertAlign w:val="superscript"/>
    </w:rPr>
  </w:style>
  <w:style w:type="paragraph" w:styleId="Nagwek">
    <w:name w:val="header"/>
    <w:basedOn w:val="Normalny"/>
    <w:link w:val="NagwekZnak"/>
    <w:uiPriority w:val="99"/>
    <w:unhideWhenUsed/>
    <w:rsid w:val="00ED63E2"/>
    <w:pPr>
      <w:tabs>
        <w:tab w:val="center" w:pos="4536"/>
        <w:tab w:val="right" w:pos="9072"/>
      </w:tabs>
    </w:pPr>
  </w:style>
  <w:style w:type="character" w:customStyle="1" w:styleId="NagwekZnak">
    <w:name w:val="Nagłówek Znak"/>
    <w:link w:val="Nagwek"/>
    <w:uiPriority w:val="99"/>
    <w:rsid w:val="00ED63E2"/>
    <w:rPr>
      <w:rFonts w:ascii="Times New Roman" w:eastAsia="Times New Roman" w:hAnsi="Times New Roman"/>
      <w:sz w:val="24"/>
      <w:szCs w:val="24"/>
    </w:rPr>
  </w:style>
  <w:style w:type="paragraph" w:styleId="Stopka">
    <w:name w:val="footer"/>
    <w:basedOn w:val="Normalny"/>
    <w:link w:val="StopkaZnak"/>
    <w:uiPriority w:val="99"/>
    <w:unhideWhenUsed/>
    <w:rsid w:val="00ED63E2"/>
    <w:pPr>
      <w:tabs>
        <w:tab w:val="center" w:pos="4536"/>
        <w:tab w:val="right" w:pos="9072"/>
      </w:tabs>
    </w:pPr>
  </w:style>
  <w:style w:type="character" w:customStyle="1" w:styleId="StopkaZnak">
    <w:name w:val="Stopka Znak"/>
    <w:link w:val="Stopka"/>
    <w:uiPriority w:val="99"/>
    <w:rsid w:val="00ED63E2"/>
    <w:rPr>
      <w:rFonts w:ascii="Times New Roman" w:eastAsia="Times New Roman" w:hAnsi="Times New Roman"/>
      <w:sz w:val="24"/>
      <w:szCs w:val="24"/>
    </w:rPr>
  </w:style>
  <w:style w:type="character" w:styleId="Odwoaniedokomentarza">
    <w:name w:val="annotation reference"/>
    <w:uiPriority w:val="99"/>
    <w:semiHidden/>
    <w:unhideWhenUsed/>
    <w:rsid w:val="00695B75"/>
    <w:rPr>
      <w:sz w:val="16"/>
      <w:szCs w:val="16"/>
    </w:rPr>
  </w:style>
  <w:style w:type="paragraph" w:styleId="Tekstkomentarza">
    <w:name w:val="annotation text"/>
    <w:basedOn w:val="Normalny"/>
    <w:link w:val="TekstkomentarzaZnak"/>
    <w:uiPriority w:val="99"/>
    <w:unhideWhenUsed/>
    <w:rsid w:val="00695B75"/>
    <w:rPr>
      <w:sz w:val="20"/>
      <w:szCs w:val="20"/>
    </w:rPr>
  </w:style>
  <w:style w:type="character" w:customStyle="1" w:styleId="TekstkomentarzaZnak">
    <w:name w:val="Tekst komentarza Znak"/>
    <w:link w:val="Tekstkomentarza"/>
    <w:uiPriority w:val="99"/>
    <w:rsid w:val="00695B75"/>
    <w:rPr>
      <w:rFonts w:ascii="Times New Roman" w:eastAsia="Times New Roman" w:hAnsi="Times New Roman"/>
    </w:rPr>
  </w:style>
  <w:style w:type="paragraph" w:styleId="Tematkomentarza">
    <w:name w:val="annotation subject"/>
    <w:basedOn w:val="Tekstkomentarza"/>
    <w:next w:val="Tekstkomentarza"/>
    <w:link w:val="TematkomentarzaZnak"/>
    <w:uiPriority w:val="99"/>
    <w:semiHidden/>
    <w:unhideWhenUsed/>
    <w:rsid w:val="00695B75"/>
    <w:rPr>
      <w:b/>
      <w:bCs/>
    </w:rPr>
  </w:style>
  <w:style w:type="character" w:customStyle="1" w:styleId="TematkomentarzaZnak">
    <w:name w:val="Temat komentarza Znak"/>
    <w:link w:val="Tematkomentarza"/>
    <w:uiPriority w:val="99"/>
    <w:semiHidden/>
    <w:rsid w:val="00695B75"/>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89A81-BEB7-41A1-BF53-809FC4DBA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5155</Words>
  <Characters>30933</Characters>
  <Application>Microsoft Office Word</Application>
  <DocSecurity>0</DocSecurity>
  <Lines>257</Lines>
  <Paragraphs>72</Paragraphs>
  <ScaleCrop>false</ScaleCrop>
  <Company/>
  <LinksUpToDate>false</LinksUpToDate>
  <CharactersWithSpaces>36016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2026-09-15T08:59:00Z</dcterms:created>
  <dcterms:modified xsi:type="dcterms:W3CDTF">2026-09-15T08:59:00Z</dcterms:modified>
</cp:coreProperties>
</file>