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F2106" w14:textId="77777777" w:rsidR="00BC5FB5" w:rsidRPr="00BC5FB5" w:rsidRDefault="00BC5FB5" w:rsidP="00BC5FB5">
      <w:pPr>
        <w:spacing w:after="0" w:line="360" w:lineRule="auto"/>
        <w:jc w:val="center"/>
        <w:rPr>
          <w:rFonts w:ascii="Times New Roman" w:eastAsia="Calibri" w:hAnsi="Times New Roman" w:cs="Times New Roman"/>
          <w:b/>
          <w:bCs/>
          <w:kern w:val="0"/>
          <w:sz w:val="24"/>
          <w:szCs w:val="24"/>
          <w14:ligatures w14:val="none"/>
        </w:rPr>
      </w:pPr>
      <w:r w:rsidRPr="00BC5FB5">
        <w:rPr>
          <w:rFonts w:ascii="Times New Roman" w:eastAsia="Calibri" w:hAnsi="Times New Roman" w:cs="Times New Roman"/>
          <w:b/>
          <w:bCs/>
          <w:kern w:val="0"/>
          <w:sz w:val="24"/>
          <w:szCs w:val="24"/>
          <w14:ligatures w14:val="none"/>
        </w:rPr>
        <w:t>U Z A S A D N I E N I E</w:t>
      </w:r>
    </w:p>
    <w:p w14:paraId="3952CC74" w14:textId="77777777" w:rsidR="00BC5FB5" w:rsidRPr="00BC5FB5" w:rsidRDefault="00BC5FB5" w:rsidP="00BC5FB5">
      <w:pPr>
        <w:spacing w:after="0" w:line="360" w:lineRule="auto"/>
        <w:jc w:val="center"/>
        <w:rPr>
          <w:rFonts w:ascii="Times New Roman" w:eastAsia="Calibri" w:hAnsi="Times New Roman" w:cs="Times New Roman"/>
          <w:b/>
          <w:bCs/>
          <w:kern w:val="0"/>
          <w:sz w:val="24"/>
          <w:szCs w:val="24"/>
          <w14:ligatures w14:val="none"/>
        </w:rPr>
      </w:pPr>
    </w:p>
    <w:p w14:paraId="387A5FD9" w14:textId="210499D8" w:rsidR="00BC5FB5" w:rsidRPr="00BC5FB5" w:rsidRDefault="00BC5FB5" w:rsidP="00BC5FB5">
      <w:pPr>
        <w:tabs>
          <w:tab w:val="left" w:pos="851"/>
        </w:tabs>
        <w:spacing w:line="360" w:lineRule="auto"/>
        <w:jc w:val="both"/>
        <w:rPr>
          <w:rFonts w:ascii="Times New Roman" w:eastAsia="Calibri" w:hAnsi="Times New Roman" w:cs="Times New Roman"/>
          <w:kern w:val="0"/>
          <w:sz w:val="24"/>
          <w14:ligatures w14:val="none"/>
        </w:rPr>
      </w:pPr>
      <w:r w:rsidRPr="00BC5FB5">
        <w:rPr>
          <w:rFonts w:ascii="Times New Roman" w:eastAsia="Calibri" w:hAnsi="Times New Roman" w:cs="Times New Roman"/>
          <w:kern w:val="0"/>
          <w:sz w:val="24"/>
          <w14:ligatures w14:val="none"/>
        </w:rPr>
        <w:tab/>
      </w:r>
      <w:r w:rsidR="0080405A">
        <w:rPr>
          <w:rFonts w:ascii="Times New Roman" w:eastAsia="Calibri" w:hAnsi="Times New Roman" w:cs="Times New Roman"/>
          <w:kern w:val="0"/>
          <w:sz w:val="24"/>
          <w14:ligatures w14:val="none"/>
        </w:rPr>
        <w:t>Jednym z głównych założeń</w:t>
      </w:r>
      <w:r w:rsidRPr="00BC5FB5">
        <w:rPr>
          <w:rFonts w:ascii="Times New Roman" w:eastAsia="Calibri" w:hAnsi="Times New Roman" w:cs="Times New Roman"/>
          <w:kern w:val="0"/>
          <w:sz w:val="24"/>
          <w14:ligatures w14:val="none"/>
        </w:rPr>
        <w:t xml:space="preserve"> opracowania niniejszego projektu ustawy jest potrzeba uproszczenia i usprawnienia procesu inwestycyjno-budowlanego w zakresie przygotowania </w:t>
      </w:r>
      <w:r w:rsidRPr="00BC5FB5">
        <w:rPr>
          <w:rFonts w:ascii="Times New Roman" w:eastAsia="Calibri" w:hAnsi="Times New Roman" w:cs="Times New Roman"/>
          <w:kern w:val="0"/>
          <w:sz w:val="24"/>
          <w14:ligatures w14:val="none"/>
        </w:rPr>
        <w:br/>
        <w:t xml:space="preserve">i realizacji inwestycji realizowanych przez </w:t>
      </w:r>
      <w:r w:rsidR="0080405A" w:rsidRPr="0080405A">
        <w:rPr>
          <w:rFonts w:ascii="Times New Roman" w:eastAsia="Calibri" w:hAnsi="Times New Roman" w:cs="Times New Roman"/>
          <w:kern w:val="0"/>
          <w:sz w:val="24"/>
          <w14:ligatures w14:val="none"/>
        </w:rPr>
        <w:t>Szefa Agencji Bezpieczeństwa Wewnętrznego, Szefa Agencji Wywiadu</w:t>
      </w:r>
      <w:r w:rsidR="00822128">
        <w:rPr>
          <w:rFonts w:ascii="Times New Roman" w:eastAsia="Calibri" w:hAnsi="Times New Roman" w:cs="Times New Roman"/>
          <w:kern w:val="0"/>
          <w:sz w:val="24"/>
          <w14:ligatures w14:val="none"/>
        </w:rPr>
        <w:t xml:space="preserve">, </w:t>
      </w:r>
      <w:r w:rsidR="0080405A" w:rsidRPr="0080405A">
        <w:rPr>
          <w:rFonts w:ascii="Times New Roman" w:eastAsia="Calibri" w:hAnsi="Times New Roman" w:cs="Times New Roman"/>
          <w:kern w:val="0"/>
          <w:sz w:val="24"/>
          <w14:ligatures w14:val="none"/>
        </w:rPr>
        <w:t>Szefa Centralnego Biura Antykorupcyjnego</w:t>
      </w:r>
      <w:r w:rsidR="00822128">
        <w:rPr>
          <w:rFonts w:ascii="Times New Roman" w:eastAsia="Calibri" w:hAnsi="Times New Roman" w:cs="Times New Roman"/>
          <w:kern w:val="0"/>
          <w:sz w:val="24"/>
          <w14:ligatures w14:val="none"/>
        </w:rPr>
        <w:t xml:space="preserve"> </w:t>
      </w:r>
      <w:r w:rsidR="00822128" w:rsidRPr="00822128">
        <w:rPr>
          <w:rFonts w:ascii="Times New Roman" w:eastAsia="Calibri" w:hAnsi="Times New Roman" w:cs="Times New Roman"/>
          <w:kern w:val="0"/>
          <w:sz w:val="24"/>
          <w14:ligatures w14:val="none"/>
        </w:rPr>
        <w:t xml:space="preserve">Szefa Służby Kontrwywiadu Wojskowego </w:t>
      </w:r>
      <w:r w:rsidR="00822128">
        <w:rPr>
          <w:rFonts w:ascii="Times New Roman" w:eastAsia="Calibri" w:hAnsi="Times New Roman" w:cs="Times New Roman"/>
          <w:kern w:val="0"/>
          <w:sz w:val="24"/>
          <w14:ligatures w14:val="none"/>
        </w:rPr>
        <w:t>oraz</w:t>
      </w:r>
      <w:r w:rsidR="00822128" w:rsidRPr="00822128">
        <w:rPr>
          <w:rFonts w:ascii="Times New Roman" w:eastAsia="Calibri" w:hAnsi="Times New Roman" w:cs="Times New Roman"/>
          <w:kern w:val="0"/>
          <w:sz w:val="24"/>
          <w14:ligatures w14:val="none"/>
        </w:rPr>
        <w:t xml:space="preserve"> Szefa Służby Wywiadu Wojskowego</w:t>
      </w:r>
      <w:r w:rsidR="00501677">
        <w:rPr>
          <w:rFonts w:ascii="Times New Roman" w:eastAsia="Calibri" w:hAnsi="Times New Roman" w:cs="Times New Roman"/>
          <w:kern w:val="0"/>
          <w:sz w:val="24"/>
          <w14:ligatures w14:val="none"/>
        </w:rPr>
        <w:t>.</w:t>
      </w:r>
    </w:p>
    <w:p w14:paraId="4C2B5FFA" w14:textId="05B2AFB6" w:rsidR="00BC5FB5" w:rsidRPr="00BC5FB5" w:rsidRDefault="00BC5FB5" w:rsidP="00C21A5C">
      <w:pPr>
        <w:tabs>
          <w:tab w:val="left" w:pos="851"/>
        </w:tabs>
        <w:spacing w:line="360" w:lineRule="auto"/>
        <w:jc w:val="both"/>
        <w:rPr>
          <w:rFonts w:ascii="Times New Roman" w:eastAsia="Calibri" w:hAnsi="Times New Roman" w:cs="Times New Roman"/>
          <w:kern w:val="0"/>
          <w:sz w:val="24"/>
          <w:szCs w:val="24"/>
          <w14:ligatures w14:val="none"/>
        </w:rPr>
      </w:pPr>
      <w:r w:rsidRPr="00BC5FB5">
        <w:rPr>
          <w:rFonts w:ascii="Times New Roman" w:eastAsia="Calibri" w:hAnsi="Times New Roman" w:cs="Times New Roman"/>
          <w:kern w:val="0"/>
          <w:sz w:val="24"/>
          <w14:ligatures w14:val="none"/>
        </w:rPr>
        <w:tab/>
        <w:t xml:space="preserve">Zmiana dotycząca ustawy z dnia 7 lipca 1994 r. – Prawo budowlane </w:t>
      </w:r>
      <w:r w:rsidR="00EA74C9" w:rsidRPr="00EA74C9">
        <w:rPr>
          <w:rFonts w:ascii="Times New Roman" w:eastAsia="Calibri" w:hAnsi="Times New Roman" w:cs="Times New Roman"/>
          <w:kern w:val="0"/>
          <w:sz w:val="24"/>
          <w14:ligatures w14:val="none"/>
        </w:rPr>
        <w:t>(Dz. U. z 2026 r. poz. 524,  605 i 646)</w:t>
      </w:r>
      <w:r w:rsidRPr="00BC5FB5">
        <w:rPr>
          <w:rFonts w:ascii="Times New Roman" w:eastAsia="Calibri" w:hAnsi="Times New Roman" w:cs="Times New Roman"/>
          <w:kern w:val="0"/>
          <w:sz w:val="24"/>
          <w14:ligatures w14:val="none"/>
        </w:rPr>
        <w:t xml:space="preserve"> dotyczy w głównej mierze realizowanych inwestycji na terenach zamkniętych ustanowionych przez </w:t>
      </w:r>
      <w:r w:rsidR="007A4095" w:rsidRPr="007A4095">
        <w:rPr>
          <w:rFonts w:ascii="Times New Roman" w:eastAsia="Calibri" w:hAnsi="Times New Roman" w:cs="Times New Roman"/>
          <w:kern w:val="0"/>
          <w:sz w:val="24"/>
          <w14:ligatures w14:val="none"/>
        </w:rPr>
        <w:t>Szefa Agencji Bezpieczeństwa Wewnętrznego, Szefa Agencji Wywiadu, Szefa Centralnego Biura Antykorupcyjnego Szefa Służby Kontrwywiadu Wojskowego oraz Szefa Służby Wywiadu Wojskowego</w:t>
      </w:r>
      <w:r w:rsidRPr="00BC5FB5">
        <w:rPr>
          <w:rFonts w:ascii="Times New Roman" w:eastAsia="Calibri" w:hAnsi="Times New Roman" w:cs="Times New Roman"/>
          <w:kern w:val="0"/>
          <w:sz w:val="24"/>
          <w14:ligatures w14:val="none"/>
        </w:rPr>
        <w:t xml:space="preserve">. W projektowanej zmianie przepisu art. 30a ww. ustawy wyłączono również obiekty budowlane usytuowane na terenach zamkniętych ustalonych decyzją </w:t>
      </w:r>
      <w:r w:rsidR="007A4095">
        <w:rPr>
          <w:rFonts w:ascii="Times New Roman" w:eastAsia="Calibri" w:hAnsi="Times New Roman" w:cs="Times New Roman"/>
          <w:kern w:val="0"/>
          <w:sz w:val="24"/>
          <w14:ligatures w14:val="none"/>
        </w:rPr>
        <w:t>szefów służb specjalnych</w:t>
      </w:r>
      <w:r w:rsidRPr="00BC5FB5">
        <w:rPr>
          <w:rFonts w:ascii="Times New Roman" w:eastAsia="Calibri" w:hAnsi="Times New Roman" w:cs="Times New Roman"/>
          <w:kern w:val="0"/>
          <w:sz w:val="24"/>
          <w14:ligatures w14:val="none"/>
        </w:rPr>
        <w:t xml:space="preserve"> od obowiązku zamieszczania informacji dotyczących inwestycji na stronach Biuletynu Informacji Publicznej właściwego organu administracji architektoniczno-budowlanej. Zmiana w art. 31 ust. 1a pkt 2 przewiduje, że nie będzie wymagana decyzja o pozwoleniu na rozbiórkę oraz zgłoszenie rozbiórki budynków i budowli zlokalizowanych na terenach zamkniętych ustalonych również decyzją </w:t>
      </w:r>
      <w:r w:rsidR="0080405A">
        <w:rPr>
          <w:rFonts w:ascii="Times New Roman" w:eastAsia="Calibri" w:hAnsi="Times New Roman" w:cs="Times New Roman"/>
          <w:kern w:val="0"/>
          <w:sz w:val="24"/>
          <w14:ligatures w14:val="none"/>
        </w:rPr>
        <w:t xml:space="preserve">szefów </w:t>
      </w:r>
      <w:r w:rsidR="007A4095">
        <w:rPr>
          <w:rFonts w:ascii="Times New Roman" w:eastAsia="Calibri" w:hAnsi="Times New Roman" w:cs="Times New Roman"/>
          <w:kern w:val="0"/>
          <w:sz w:val="24"/>
          <w14:ligatures w14:val="none"/>
        </w:rPr>
        <w:t>służb specjalnych</w:t>
      </w:r>
      <w:r w:rsidRPr="00BC5FB5">
        <w:rPr>
          <w:rFonts w:ascii="Times New Roman" w:eastAsia="Calibri" w:hAnsi="Times New Roman" w:cs="Times New Roman"/>
          <w:kern w:val="0"/>
          <w:sz w:val="24"/>
          <w14:ligatures w14:val="none"/>
        </w:rPr>
        <w:t xml:space="preserve">. W art. 47c ust. 2 ustawy wyłączono prowadzenia dziennika budowy w postaci elektronicznej w stosunku do robót budowlanych na </w:t>
      </w:r>
      <w:r w:rsidR="0080405A">
        <w:rPr>
          <w:rFonts w:ascii="Times New Roman" w:eastAsia="Calibri" w:hAnsi="Times New Roman" w:cs="Times New Roman"/>
          <w:kern w:val="0"/>
          <w:sz w:val="24"/>
          <w14:ligatures w14:val="none"/>
        </w:rPr>
        <w:t xml:space="preserve">tych </w:t>
      </w:r>
      <w:r w:rsidRPr="00BC5FB5">
        <w:rPr>
          <w:rFonts w:ascii="Times New Roman" w:eastAsia="Calibri" w:hAnsi="Times New Roman" w:cs="Times New Roman"/>
          <w:kern w:val="0"/>
          <w:sz w:val="24"/>
          <w14:ligatures w14:val="none"/>
        </w:rPr>
        <w:t>terenach zamkniętych. Wyłączono również obowiązki, o których mowa w art. 71 ust. 2-7</w:t>
      </w:r>
      <w:r w:rsidR="009614BA">
        <w:rPr>
          <w:rFonts w:ascii="Times New Roman" w:eastAsia="Calibri" w:hAnsi="Times New Roman" w:cs="Times New Roman"/>
          <w:kern w:val="0"/>
          <w:sz w:val="24"/>
          <w14:ligatures w14:val="none"/>
        </w:rPr>
        <w:t xml:space="preserve"> ustawy</w:t>
      </w:r>
      <w:r w:rsidRPr="00BC5FB5">
        <w:rPr>
          <w:rFonts w:ascii="Times New Roman" w:eastAsia="Calibri" w:hAnsi="Times New Roman" w:cs="Times New Roman"/>
          <w:kern w:val="0"/>
          <w:sz w:val="24"/>
          <w14:ligatures w14:val="none"/>
        </w:rPr>
        <w:t xml:space="preserve"> związane ze zgłoszeniem zmiany sposobu użytkowania obiektu budowlanego lub jego części  w zakresie obiektów budowlanych zlokalizowanych na terenach zamkniętych ustalonych decyzją </w:t>
      </w:r>
      <w:r w:rsidR="000C3297">
        <w:rPr>
          <w:rFonts w:ascii="Times New Roman" w:eastAsia="Calibri" w:hAnsi="Times New Roman" w:cs="Times New Roman"/>
          <w:kern w:val="0"/>
          <w:sz w:val="24"/>
          <w14:ligatures w14:val="none"/>
        </w:rPr>
        <w:t xml:space="preserve">szefów </w:t>
      </w:r>
      <w:r w:rsidR="009614BA">
        <w:rPr>
          <w:rFonts w:ascii="Times New Roman" w:eastAsia="Calibri" w:hAnsi="Times New Roman" w:cs="Times New Roman"/>
          <w:kern w:val="0"/>
          <w:sz w:val="24"/>
          <w14:ligatures w14:val="none"/>
        </w:rPr>
        <w:t>służb specjalnych</w:t>
      </w:r>
      <w:r w:rsidRPr="00BC5FB5">
        <w:rPr>
          <w:rFonts w:ascii="Times New Roman" w:eastAsia="Calibri" w:hAnsi="Times New Roman" w:cs="Times New Roman"/>
          <w:kern w:val="0"/>
          <w:sz w:val="24"/>
          <w14:ligatures w14:val="none"/>
        </w:rPr>
        <w:t>.</w:t>
      </w:r>
      <w:r w:rsidRPr="00BC5FB5">
        <w:rPr>
          <w:rFonts w:ascii="Times New Roman" w:eastAsia="DengXian" w:hAnsi="Times New Roman" w:cs="Times New Roman"/>
          <w:kern w:val="0"/>
          <w:sz w:val="24"/>
          <w:szCs w:val="24"/>
          <w14:ligatures w14:val="none"/>
        </w:rPr>
        <w:t xml:space="preserve"> </w:t>
      </w:r>
    </w:p>
    <w:p w14:paraId="2F7ADC58" w14:textId="1D756BAD" w:rsidR="00BC5FB5" w:rsidRPr="005C2EC6" w:rsidRDefault="00BC5FB5" w:rsidP="005C2EC6">
      <w:pPr>
        <w:spacing w:after="0" w:line="360" w:lineRule="auto"/>
        <w:ind w:firstLine="708"/>
        <w:jc w:val="both"/>
        <w:rPr>
          <w:rFonts w:ascii="Times New Roman" w:eastAsia="Calibri" w:hAnsi="Times New Roman" w:cs="Times New Roman"/>
          <w:kern w:val="0"/>
          <w:sz w:val="24"/>
          <w:szCs w:val="24"/>
          <w14:ligatures w14:val="none"/>
        </w:rPr>
      </w:pPr>
      <w:r w:rsidRPr="00BC5FB5">
        <w:rPr>
          <w:rFonts w:ascii="Times New Roman" w:eastAsia="Calibri" w:hAnsi="Times New Roman" w:cs="Times New Roman"/>
          <w:kern w:val="0"/>
          <w:sz w:val="24"/>
          <w:szCs w:val="24"/>
          <w14:ligatures w14:val="none"/>
        </w:rPr>
        <w:t xml:space="preserve">Zmiana w art. 53 ust. 1 ustawy z dnia 27 marca 2003 r. o planowaniu i zagospodarowaniu przestrzennym zakłada wyłączenie z obowiązku udostępnienia zawiadomień o wszczęciu postępowania o wydaniu decyzji o ustaleniu lokalizacji inwestycji celu publicznego, o wydanych postanowieniach oraz o samej decyzji na stronie podmiotowej BIP organu wydającego, postępowań dotyczących inwestycji lokalizowanych na terenach zamkniętych ustalonych przez </w:t>
      </w:r>
      <w:r w:rsidR="00DD67AF">
        <w:rPr>
          <w:rFonts w:ascii="Times New Roman" w:eastAsia="Calibri" w:hAnsi="Times New Roman" w:cs="Times New Roman"/>
          <w:kern w:val="0"/>
          <w:sz w:val="24"/>
          <w:szCs w:val="24"/>
          <w14:ligatures w14:val="none"/>
        </w:rPr>
        <w:t>szefów służb specjalnych</w:t>
      </w:r>
      <w:r w:rsidRPr="00BC5FB5">
        <w:rPr>
          <w:rFonts w:ascii="Times New Roman" w:eastAsia="Calibri" w:hAnsi="Times New Roman" w:cs="Times New Roman"/>
          <w:kern w:val="0"/>
          <w:sz w:val="24"/>
          <w:szCs w:val="24"/>
          <w14:ligatures w14:val="none"/>
        </w:rPr>
        <w:t>. Dodanie w ust. 4 pkt 15a</w:t>
      </w:r>
      <w:r w:rsidR="00900930">
        <w:rPr>
          <w:rFonts w:ascii="Times New Roman" w:eastAsia="Calibri" w:hAnsi="Times New Roman" w:cs="Times New Roman"/>
          <w:kern w:val="0"/>
          <w:sz w:val="24"/>
          <w:szCs w:val="24"/>
          <w14:ligatures w14:val="none"/>
        </w:rPr>
        <w:t>-15c</w:t>
      </w:r>
      <w:r w:rsidRPr="00BC5FB5">
        <w:rPr>
          <w:rFonts w:ascii="Times New Roman" w:eastAsia="Calibri" w:hAnsi="Times New Roman" w:cs="Times New Roman"/>
          <w:kern w:val="0"/>
          <w:sz w:val="24"/>
          <w:szCs w:val="24"/>
          <w14:ligatures w14:val="none"/>
        </w:rPr>
        <w:t xml:space="preserve"> ma na celu włączenie </w:t>
      </w:r>
      <w:r w:rsidR="00900930">
        <w:rPr>
          <w:rFonts w:ascii="Times New Roman" w:eastAsia="Calibri" w:hAnsi="Times New Roman" w:cs="Times New Roman"/>
          <w:kern w:val="0"/>
          <w:sz w:val="24"/>
          <w:szCs w:val="24"/>
          <w14:ligatures w14:val="none"/>
        </w:rPr>
        <w:t>tych podmiotów</w:t>
      </w:r>
      <w:r w:rsidRPr="00BC5FB5">
        <w:rPr>
          <w:rFonts w:ascii="Times New Roman" w:eastAsia="Calibri" w:hAnsi="Times New Roman" w:cs="Times New Roman"/>
          <w:kern w:val="0"/>
          <w:sz w:val="24"/>
          <w:szCs w:val="24"/>
          <w14:ligatures w14:val="none"/>
        </w:rPr>
        <w:t xml:space="preserve"> do katalogu organów, z którymi należy dokonać uzgodnienia w zakresie wydania decyzji w odniesieniu do stref ochronnych terenów zamkniętych ustalonych przez ten organ.</w:t>
      </w:r>
    </w:p>
    <w:p w14:paraId="7454E5EA" w14:textId="0A0A05E2" w:rsidR="00BC5FB5" w:rsidRPr="008C7271" w:rsidRDefault="00BC5FB5" w:rsidP="008C7271">
      <w:pPr>
        <w:spacing w:after="0" w:line="360" w:lineRule="auto"/>
        <w:ind w:firstLine="708"/>
        <w:jc w:val="both"/>
        <w:rPr>
          <w:rFonts w:ascii="Times New Roman" w:eastAsia="Calibri" w:hAnsi="Times New Roman" w:cs="Times New Roman"/>
          <w:color w:val="00B050"/>
          <w:kern w:val="0"/>
          <w:sz w:val="24"/>
          <w:szCs w:val="24"/>
          <w14:ligatures w14:val="none"/>
        </w:rPr>
      </w:pPr>
      <w:r w:rsidRPr="00BC5FB5">
        <w:rPr>
          <w:rFonts w:ascii="Times New Roman" w:eastAsia="Calibri" w:hAnsi="Times New Roman" w:cs="Times New Roman"/>
          <w:kern w:val="0"/>
          <w:sz w:val="24"/>
          <w:szCs w:val="24"/>
          <w14:ligatures w14:val="none"/>
        </w:rPr>
        <w:lastRenderedPageBreak/>
        <w:t xml:space="preserve">Zmiany przewidziane w projekcie ustawy </w:t>
      </w:r>
      <w:r w:rsidRPr="00BC5FB5">
        <w:rPr>
          <w:rFonts w:ascii="Times New Roman" w:eastAsia="Times New Roman" w:hAnsi="Times New Roman" w:cs="Times New Roman"/>
          <w:kern w:val="0"/>
          <w:sz w:val="24"/>
          <w:szCs w:val="24"/>
          <w:lang w:eastAsia="zh-CN"/>
          <w14:ligatures w14:val="none"/>
        </w:rPr>
        <w:t>z dnia 3 października 2008 r.</w:t>
      </w:r>
      <w:r w:rsidRPr="00BC5FB5">
        <w:rPr>
          <w:rFonts w:ascii="Times New Roman" w:eastAsia="Calibri" w:hAnsi="Times New Roman" w:cs="Times New Roman"/>
          <w:kern w:val="0"/>
          <w:sz w:val="24"/>
          <w:szCs w:val="24"/>
          <w14:ligatures w14:val="none"/>
        </w:rPr>
        <w:t xml:space="preserve"> </w:t>
      </w:r>
      <w:r w:rsidRPr="00BC5FB5">
        <w:rPr>
          <w:rFonts w:ascii="Times New Roman" w:eastAsia="Times New Roman" w:hAnsi="Times New Roman" w:cs="Times New Roman"/>
          <w:kern w:val="0"/>
          <w:sz w:val="24"/>
          <w:szCs w:val="24"/>
          <w:lang w:eastAsia="zh-CN"/>
          <w14:ligatures w14:val="none"/>
        </w:rPr>
        <w:t xml:space="preserve">o udostępnianiu informacji o środowisku i jego ochronie, udziale społeczeństwa w ochronie środowiska oraz </w:t>
      </w:r>
      <w:r w:rsidRPr="00BC5FB5">
        <w:rPr>
          <w:rFonts w:ascii="Times New Roman" w:eastAsia="Times New Roman" w:hAnsi="Times New Roman" w:cs="Times New Roman"/>
          <w:kern w:val="0"/>
          <w:sz w:val="24"/>
          <w:szCs w:val="24"/>
          <w:lang w:eastAsia="zh-CN"/>
          <w14:ligatures w14:val="none"/>
        </w:rPr>
        <w:br/>
        <w:t xml:space="preserve">o ocenach oddziaływania na środowisko wynikają przede wszystkim z potrzeby usprawnienia procedur inwestycyjnych realizowanych na obszarze terenów zamkniętych ustalonych przez </w:t>
      </w:r>
      <w:r w:rsidR="0087689F">
        <w:rPr>
          <w:rFonts w:ascii="Times New Roman" w:eastAsia="Times New Roman" w:hAnsi="Times New Roman" w:cs="Times New Roman"/>
          <w:kern w:val="0"/>
          <w:sz w:val="24"/>
          <w:szCs w:val="24"/>
          <w:lang w:eastAsia="zh-CN"/>
          <w14:ligatures w14:val="none"/>
        </w:rPr>
        <w:t xml:space="preserve">szefów </w:t>
      </w:r>
      <w:r w:rsidR="00DD67AF">
        <w:rPr>
          <w:rFonts w:ascii="Times New Roman" w:eastAsia="Times New Roman" w:hAnsi="Times New Roman" w:cs="Times New Roman"/>
          <w:kern w:val="0"/>
          <w:sz w:val="24"/>
          <w:szCs w:val="24"/>
          <w:lang w:eastAsia="zh-CN"/>
          <w14:ligatures w14:val="none"/>
        </w:rPr>
        <w:t>służb specjalnych</w:t>
      </w:r>
      <w:r w:rsidRPr="00BC5FB5">
        <w:rPr>
          <w:rFonts w:ascii="Times New Roman" w:eastAsia="Times New Roman" w:hAnsi="Times New Roman" w:cs="Times New Roman"/>
          <w:kern w:val="0"/>
          <w:sz w:val="24"/>
          <w:szCs w:val="24"/>
          <w:lang w:eastAsia="zh-CN"/>
          <w14:ligatures w14:val="none"/>
        </w:rPr>
        <w:t>.</w:t>
      </w:r>
      <w:r w:rsidRPr="00BC5FB5">
        <w:rPr>
          <w:rFonts w:ascii="Times New Roman" w:eastAsia="Calibri" w:hAnsi="Times New Roman" w:cs="Times New Roman"/>
          <w:kern w:val="0"/>
          <w:sz w:val="24"/>
          <w:szCs w:val="24"/>
          <w14:ligatures w14:val="none"/>
        </w:rPr>
        <w:t xml:space="preserve"> </w:t>
      </w:r>
      <w:r w:rsidRPr="00BC5FB5">
        <w:rPr>
          <w:rFonts w:ascii="Times New Roman" w:eastAsia="Times New Roman" w:hAnsi="Times New Roman" w:cs="Times New Roman"/>
          <w:kern w:val="0"/>
          <w:sz w:val="24"/>
          <w:szCs w:val="24"/>
          <w:lang w:eastAsia="zh-CN"/>
          <w14:ligatures w14:val="none"/>
        </w:rPr>
        <w:t xml:space="preserve">Wprowadzane zmiany mają na celu poszerzenie katalogu określonych przedsięwzięć, w przypadku których w postępowaniu w sprawie wydania decyzji </w:t>
      </w:r>
      <w:r w:rsidRPr="00BC5FB5">
        <w:rPr>
          <w:rFonts w:ascii="Times New Roman" w:eastAsia="Times New Roman" w:hAnsi="Times New Roman" w:cs="Times New Roman"/>
          <w:color w:val="00B050"/>
          <w:kern w:val="0"/>
          <w:sz w:val="24"/>
          <w:szCs w:val="24"/>
          <w:lang w:eastAsia="zh-CN"/>
          <w14:ligatures w14:val="none"/>
        </w:rPr>
        <w:br/>
      </w:r>
      <w:r w:rsidRPr="00BC5FB5">
        <w:rPr>
          <w:rFonts w:ascii="Times New Roman" w:eastAsia="Times New Roman" w:hAnsi="Times New Roman" w:cs="Times New Roman"/>
          <w:kern w:val="0"/>
          <w:sz w:val="24"/>
          <w:szCs w:val="24"/>
          <w:lang w:eastAsia="zh-CN"/>
          <w14:ligatures w14:val="none"/>
        </w:rPr>
        <w:t xml:space="preserve">o środowiskowych uwarunkowaniach nie przedkłada się miejscowego planu zagospodarowania przestrzennego i nie bada ich lokalizacji z ustaleniami tego planu. Do istniejącego wyliczenia dodano punkt 20a odnoszący się do inwestycji, które będą realizowane na terenie zamkniętym, którego obszar został określony decyzją </w:t>
      </w:r>
      <w:r w:rsidR="00DD67AF">
        <w:rPr>
          <w:rFonts w:ascii="Times New Roman" w:eastAsia="Calibri" w:hAnsi="Times New Roman" w:cs="Times New Roman"/>
          <w:bCs/>
          <w:kern w:val="0"/>
          <w:sz w:val="24"/>
          <w:szCs w:val="24"/>
          <w14:ligatures w14:val="none"/>
        </w:rPr>
        <w:t>szefa służby specjalnej</w:t>
      </w:r>
      <w:r w:rsidRPr="00BC5FB5">
        <w:rPr>
          <w:rFonts w:ascii="Times New Roman" w:eastAsia="Times New Roman" w:hAnsi="Times New Roman" w:cs="Times New Roman"/>
          <w:kern w:val="0"/>
          <w:sz w:val="24"/>
          <w:szCs w:val="24"/>
          <w:lang w:eastAsia="zh-CN"/>
          <w14:ligatures w14:val="none"/>
        </w:rPr>
        <w:t xml:space="preserve">. Dodatkowo w odniesieniu do zaproponowanej powyżej zmiany dotyczącej rozszerzenia katalogu wyłączeń o </w:t>
      </w:r>
      <w:r w:rsidR="0087689F">
        <w:rPr>
          <w:rFonts w:ascii="Times New Roman" w:eastAsia="Times New Roman" w:hAnsi="Times New Roman" w:cs="Times New Roman"/>
          <w:kern w:val="0"/>
          <w:sz w:val="24"/>
          <w:szCs w:val="24"/>
          <w:lang w:eastAsia="zh-CN"/>
          <w14:ligatures w14:val="none"/>
        </w:rPr>
        <w:t xml:space="preserve">przedmiotowe </w:t>
      </w:r>
      <w:r w:rsidRPr="00BC5FB5">
        <w:rPr>
          <w:rFonts w:ascii="Times New Roman" w:eastAsia="Times New Roman" w:hAnsi="Times New Roman" w:cs="Times New Roman"/>
          <w:kern w:val="0"/>
          <w:sz w:val="24"/>
          <w:szCs w:val="24"/>
          <w:lang w:eastAsia="zh-CN"/>
          <w14:ligatures w14:val="none"/>
        </w:rPr>
        <w:t>tereny zamknięte, zaproponowano zmianę art. 75 ust. 1 pkt 1 lit. b poprzez dołączenie tych terenów do katalogu przedsięwziąć realizowanych na terenach zamkniętych ustalonych przez Ministra Obrony Narodowej,</w:t>
      </w:r>
      <w:r w:rsidRPr="00BC5FB5">
        <w:rPr>
          <w:rFonts w:ascii="Times New Roman" w:eastAsia="Calibri" w:hAnsi="Times New Roman" w:cs="Times New Roman"/>
          <w:kern w:val="0"/>
          <w:sz w:val="24"/>
          <w:szCs w:val="24"/>
          <w14:ligatures w14:val="none"/>
        </w:rPr>
        <w:t xml:space="preserve"> </w:t>
      </w:r>
      <w:r w:rsidRPr="00BC5FB5">
        <w:rPr>
          <w:rFonts w:ascii="Times New Roman" w:eastAsia="Times New Roman" w:hAnsi="Times New Roman" w:cs="Times New Roman"/>
          <w:kern w:val="0"/>
          <w:sz w:val="24"/>
          <w:szCs w:val="24"/>
          <w:lang w:eastAsia="zh-CN"/>
          <w14:ligatures w14:val="none"/>
        </w:rPr>
        <w:t xml:space="preserve">w przypadku których wydawana jest decyzja o środowiskowych uwarunkowaniach przez regionalnego dyrektora ochrony środowiska.  </w:t>
      </w:r>
    </w:p>
    <w:p w14:paraId="4727CA5E"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Drugim istotnym obszarem zmian proponowanym w projekcie jest wprowadzenie zadania polegającego na ochronie przez </w:t>
      </w:r>
      <w:r w:rsidRPr="00BC4429">
        <w:rPr>
          <w:rFonts w:ascii="Times New Roman" w:eastAsia="Calibri" w:hAnsi="Times New Roman" w:cs="Times New Roman"/>
          <w:kern w:val="0"/>
          <w:sz w:val="24"/>
          <w:szCs w:val="24"/>
          <w14:ligatures w14:val="none"/>
        </w:rPr>
        <w:t>Agencję Bezpieczeństwa Wewnętrznego, Agencję Wywiadu, Centralne Biuro Antykorupcyjne, Służbę Kontrwywiadu Wojskowego oraz Służbę Wywiadu Wojskowego</w:t>
      </w:r>
      <w:r>
        <w:rPr>
          <w:rFonts w:ascii="Times New Roman" w:eastAsia="Calibri" w:hAnsi="Times New Roman" w:cs="Times New Roman"/>
          <w:kern w:val="0"/>
          <w:sz w:val="24"/>
          <w:szCs w:val="24"/>
          <w14:ligatures w14:val="none"/>
        </w:rPr>
        <w:t xml:space="preserve"> swoich szefów. Na tym tle należy zauważyć, że prawidłowe </w:t>
      </w:r>
      <w:r w:rsidRPr="00BC4429">
        <w:rPr>
          <w:rFonts w:ascii="Times New Roman" w:eastAsia="Calibri" w:hAnsi="Times New Roman" w:cs="Times New Roman"/>
          <w:kern w:val="0"/>
          <w:sz w:val="24"/>
          <w:szCs w:val="24"/>
          <w14:ligatures w14:val="none"/>
        </w:rPr>
        <w:t>wykonywanie zadań przez służby specjalne wymaga także zapewniania bezpieczeństwa wykorzystywanych przez nie urządzeń, obiektów i obszarów, jak również osób faktycznie te zadania realizujących. Rozwiązania w tym zakresie przewidziane są w poszczególnych ustawach pragmatyczny, tj. w art. 43 ustawy z dnia 24 maja 2002 r.  o Agencji Bezpieczeństwa Wewnętrznego oraz Agencji Wywiadu (Dz. U. z 2025 r. poz. 902 i 1366 oraz z 2026 r. poz. 26), art. 30 ustawy z dnia 9 czerwca 2006 r. o Centralnym Biurze Antykorupcyjnym (Dz. U. z 2025 r. poz. 712 i 718) oraz art. 44 ustawy z dnia 9 czerwca 2006 r. o Służbie Kontrwywiadu Wojskowego oraz Służbie Wywiadu Wojskowego (Dz. U. z 2024 r. poz. 1405 oraz z 2025 r. poz. 179 i 1366).</w:t>
      </w:r>
    </w:p>
    <w:p w14:paraId="5C8B482C"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Przepisy te zobowiązują Agencję Bezpieczeństwa Wewnętrznego, Agencję Wywiadu, Centralne Biuro Antykorupcyjne, Służbę Kontrwywiadu Wojskowego oraz Służbę Wywiadu Wojskowego do ochrony wykorzystywanych przez siebie urządzeń oraz obszarów i obiektów, a także przebywających w nich osób. Zadanie te realizowane jest przez wewnętrzną służbę ochrony (jedynie CBA zgodnie z ust. 3 może je powierzyć specjalistycznej uzbrojonej formacji ochronnej).</w:t>
      </w:r>
    </w:p>
    <w:p w14:paraId="665C9986"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lastRenderedPageBreak/>
        <w:t xml:space="preserve">Jednocześnie przepisy wskazują konkretne czynności, do których stosowania są uprawnieni funkcjonariusze realizujący opisane wcześniej zadania ochronne. Wśród nich znalazły się m.in. uprawnienie do legitymowania osób w celu ustalenia ich tożsamości, do ujęcia osób stwarzających bezpośrednie zagrożenie życia lub zdrowia ludzkiego, a także dla chronionego mienia, w celu niezwłocznego oddania tych osób Policji lub innym właściwym organom, do dokonywania sprawdzenia prewencyjnego, a także do sprawdzania bagaży, środków transportu i ładunków, czy zniszczenia, unieruchomienia lub przejęcia kontroli lotu bezzałogowego statku powietrznego, w tym modelu latającego. </w:t>
      </w:r>
    </w:p>
    <w:p w14:paraId="097A85D8"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 xml:space="preserve">Należy jednak zauważyć, że istotą przedstawionych regulacji jest ochrona urządzeń, obszarów i obiektów, a ochrona osób ograniczona jest do tych, przybywających na tych obszarach lub w tych obiektach. Co prawda niektóre czynności mogą być wykonywane także „w miejscu bezpośrednio sąsiadującym” z tymi miejscami, niemniej ochrona i w tym przypadku powiązana jest w konkretną lokalizacją. </w:t>
      </w:r>
    </w:p>
    <w:p w14:paraId="3C6D72FB"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 xml:space="preserve">Rozwiązanie takie co do zasady należy uznać za właściwe, gdyż tożsamość funkcjonariuszy służb specjalnych nie stanowi informacji publicznej, a zatem zapewnienie ciągłości działania służby specjalnej i skutecznej realizacji jej zadań przez ochronę funkcjonariuszy w miejscu ich służby stanowi środek proporcjonalny i skuteczny. Taki wniosek nie jest jednak uprawniony w odniesieniu do szefów służb specjalnych. Tożsamość tych osób jest publicznie znana, publikowana zarówno na stronach internetowych poszczególnych służb, jak i w artykułach prasowych w związku z ich działalnością służbową. Jednocześnie osoby te z uwagi na zadania, jakie realizują, mogą być przedmiotem działań zlecanych lub inspirowanych przez państwa nieprzyjazne, w tym incydentów zagrażających zdrowiu i życiu tych osób. </w:t>
      </w:r>
    </w:p>
    <w:p w14:paraId="4DE0D3E9"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Na tym tle zasadne wydaje się zatem powierzenie służbom specjalnym dodatkowego zadania związanego z ochroną szefów tych służb. Czynności w tym zakresie byłby realizowane w miejscu przebywania osoby ochranianej. Należy przy tym zauważyć, że przedstawiona propozycja nie poznaje służbom nowych kategorii uprawnień, a jedynie możliwa realizację już wskazanych w przepisach czynności (</w:t>
      </w:r>
      <w:bookmarkStart w:id="0" w:name="_Hlk228948892"/>
      <w:r w:rsidRPr="00BC4429">
        <w:rPr>
          <w:rFonts w:ascii="Times New Roman" w:eastAsia="Calibri" w:hAnsi="Times New Roman" w:cs="Times New Roman"/>
          <w:kern w:val="0"/>
          <w:sz w:val="24"/>
          <w:szCs w:val="24"/>
          <w14:ligatures w14:val="none"/>
        </w:rPr>
        <w:t xml:space="preserve">art. 43 ust. 2 ustawy </w:t>
      </w:r>
      <w:r w:rsidRPr="00BC4429">
        <w:rPr>
          <w:rFonts w:ascii="Times New Roman" w:eastAsia="Calibri" w:hAnsi="Times New Roman" w:cs="Times New Roman"/>
          <w:i/>
          <w:iCs/>
          <w:kern w:val="0"/>
          <w:sz w:val="24"/>
          <w:szCs w:val="24"/>
          <w14:ligatures w14:val="none"/>
        </w:rPr>
        <w:t>o ABW oraz AW</w:t>
      </w:r>
      <w:r w:rsidRPr="00BC4429">
        <w:rPr>
          <w:rFonts w:ascii="Times New Roman" w:eastAsia="Calibri" w:hAnsi="Times New Roman" w:cs="Times New Roman"/>
          <w:kern w:val="0"/>
          <w:sz w:val="24"/>
          <w:szCs w:val="24"/>
          <w14:ligatures w14:val="none"/>
        </w:rPr>
        <w:t xml:space="preserve">, art. 30 ust. 2 ustawy </w:t>
      </w:r>
      <w:r w:rsidRPr="00BC4429">
        <w:rPr>
          <w:rFonts w:ascii="Times New Roman" w:eastAsia="Calibri" w:hAnsi="Times New Roman" w:cs="Times New Roman"/>
          <w:i/>
          <w:iCs/>
          <w:kern w:val="0"/>
          <w:sz w:val="24"/>
          <w:szCs w:val="24"/>
          <w14:ligatures w14:val="none"/>
        </w:rPr>
        <w:t>o CBA</w:t>
      </w:r>
      <w:r w:rsidRPr="00BC4429">
        <w:rPr>
          <w:rFonts w:ascii="Times New Roman" w:eastAsia="Calibri" w:hAnsi="Times New Roman" w:cs="Times New Roman"/>
          <w:kern w:val="0"/>
          <w:sz w:val="24"/>
          <w:szCs w:val="24"/>
          <w14:ligatures w14:val="none"/>
        </w:rPr>
        <w:t xml:space="preserve"> oraz art. 44 ust. 2 ustawy </w:t>
      </w:r>
      <w:r w:rsidRPr="00BC4429">
        <w:rPr>
          <w:rFonts w:ascii="Times New Roman" w:eastAsia="Calibri" w:hAnsi="Times New Roman" w:cs="Times New Roman"/>
          <w:i/>
          <w:iCs/>
          <w:kern w:val="0"/>
          <w:sz w:val="24"/>
          <w:szCs w:val="24"/>
          <w14:ligatures w14:val="none"/>
        </w:rPr>
        <w:t>o SKW oraz SWW</w:t>
      </w:r>
      <w:bookmarkEnd w:id="0"/>
      <w:r w:rsidRPr="00BC4429">
        <w:rPr>
          <w:rFonts w:ascii="Times New Roman" w:eastAsia="Calibri" w:hAnsi="Times New Roman" w:cs="Times New Roman"/>
          <w:kern w:val="0"/>
          <w:sz w:val="24"/>
          <w:szCs w:val="24"/>
          <w14:ligatures w14:val="none"/>
        </w:rPr>
        <w:t>) w celu ochrony osoby szefa służby.</w:t>
      </w:r>
    </w:p>
    <w:p w14:paraId="452E6B7C"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 xml:space="preserve">Proponuje się zatem, aby w celu zapewnienia ochrony szefa służby możliwe było: </w:t>
      </w:r>
    </w:p>
    <w:p w14:paraId="20DE45B9" w14:textId="77777777" w:rsidR="00BC4429" w:rsidRPr="00BC4429" w:rsidRDefault="00BC4429" w:rsidP="00BC4429">
      <w:pPr>
        <w:numPr>
          <w:ilvl w:val="0"/>
          <w:numId w:val="1"/>
        </w:numPr>
        <w:spacing w:after="120" w:line="360" w:lineRule="auto"/>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 xml:space="preserve">legitymowanie osoby w celu ustalenia tożsamości, </w:t>
      </w:r>
    </w:p>
    <w:p w14:paraId="0A257D3D" w14:textId="77777777" w:rsidR="00BC4429" w:rsidRPr="00BC4429" w:rsidRDefault="00BC4429" w:rsidP="00BC4429">
      <w:pPr>
        <w:numPr>
          <w:ilvl w:val="0"/>
          <w:numId w:val="1"/>
        </w:numPr>
        <w:spacing w:after="120" w:line="360" w:lineRule="auto"/>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ujęcie osoby stwarzających bezpośrednie zagrożenie życia lub zdrowia ludzkiego, a także zagrożenie dla chronionego mienia, w celu niezwłocznego oddania tych osób Policji lub innym właściwym organom,</w:t>
      </w:r>
    </w:p>
    <w:p w14:paraId="5B423505" w14:textId="77777777" w:rsidR="00BC4429" w:rsidRPr="00BC4429" w:rsidRDefault="00BC4429" w:rsidP="00BC4429">
      <w:pPr>
        <w:numPr>
          <w:ilvl w:val="0"/>
          <w:numId w:val="1"/>
        </w:numPr>
        <w:spacing w:after="120" w:line="360" w:lineRule="auto"/>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lastRenderedPageBreak/>
        <w:t>dokonanie sprawdzenia prewencyjnego, a także sprawdzania bagaży, środków transportu i ładunków,</w:t>
      </w:r>
    </w:p>
    <w:p w14:paraId="15F8F2EF" w14:textId="77777777" w:rsidR="00BC4429" w:rsidRPr="00BC4429" w:rsidRDefault="00BC4429" w:rsidP="00BC4429">
      <w:pPr>
        <w:numPr>
          <w:ilvl w:val="0"/>
          <w:numId w:val="1"/>
        </w:numPr>
        <w:spacing w:after="120" w:line="360" w:lineRule="auto"/>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zniszczenie, unieruchomienie lub przejęcie kontroli lotu bezzałogowego statku powietrznego.</w:t>
      </w:r>
    </w:p>
    <w:p w14:paraId="0A8C86CE" w14:textId="3C2A8731"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 xml:space="preserve">Należy podkreślić, że służba byłaby uprawniona do wykonania tych czynności jedynie, gdy byłoby to niezbędne do zapewnienia bezpieczeństwa osobie ochranianej. </w:t>
      </w:r>
      <w:r w:rsidR="00A86C56">
        <w:rPr>
          <w:rFonts w:ascii="Times New Roman" w:eastAsia="Calibri" w:hAnsi="Times New Roman" w:cs="Times New Roman"/>
          <w:kern w:val="0"/>
          <w:sz w:val="24"/>
          <w:szCs w:val="24"/>
          <w14:ligatures w14:val="none"/>
        </w:rPr>
        <w:t xml:space="preserve">Jednocześnie proponuje się przyznanie szefowi służby specjalnej uprawnienia do objęcia ochroną osobową także wskazanego funkcjonariusza lub pracownika. Decyzja w tym zakresie może być efektem powzięcia wiadomości ją uzasadniających, w szczególności wskazujących na szczególne zagrożenie i po przeprowadzeniu analizy ryzyka.   </w:t>
      </w:r>
    </w:p>
    <w:p w14:paraId="4C1C475B"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 xml:space="preserve">Jednocześnie wraz z powierzeniem nowego zadania ochrony szefa służby, w projekcie ustawy zaproponowano wprowadzenie jednoznacznych rozwiązań gwarancyjnych, powiązanych z realizacją czynności w ramach obowiązków ochronnych.. Rozwiązania te co do zasady są związane ze czynnościami wskazanymi art. 43 ust. 2 pkt 2-7 ustawy o ABW oraz AW, art. 30 ust. 2 pkt 1 (w zakresie legitymowania), 2 i 3-5 ustawy o CBA oraz art. 44 ust. 2 pkt 2-7 ustawy o SKW oraz SWW, a zatem nie ograniczają się tylko do tych czynności, które mogą być realizowane w  związku z ochroną szefa służby specjalnej. Tym samym o odniesieniu do czynność służb specjalnych realizowanych w ramach zadań ochronnych </w:t>
      </w:r>
      <w:r w:rsidRPr="00BC4429">
        <w:rPr>
          <w:rFonts w:ascii="Times New Roman" w:eastAsia="Calibri" w:hAnsi="Times New Roman" w:cs="Times New Roman"/>
          <w:i/>
          <w:iCs/>
          <w:kern w:val="0"/>
          <w:sz w:val="24"/>
          <w:szCs w:val="24"/>
          <w14:ligatures w14:val="none"/>
        </w:rPr>
        <w:t>expressis verbis</w:t>
      </w:r>
      <w:r w:rsidRPr="00BC4429">
        <w:rPr>
          <w:rFonts w:ascii="Times New Roman" w:eastAsia="Calibri" w:hAnsi="Times New Roman" w:cs="Times New Roman"/>
          <w:kern w:val="0"/>
          <w:sz w:val="24"/>
          <w:szCs w:val="24"/>
          <w14:ligatures w14:val="none"/>
        </w:rPr>
        <w:t xml:space="preserve"> wprowadzono analogiczny reżim prawny, jaki funkcjonuje w odniesieniu do analogicznych czynności realizowanych w ramach podstawowych zadań ustawowych danej służby (por.  art. 23 ust. 1 i art. 24 ustawy </w:t>
      </w:r>
      <w:r w:rsidRPr="00BC4429">
        <w:rPr>
          <w:rFonts w:ascii="Times New Roman" w:eastAsia="Calibri" w:hAnsi="Times New Roman" w:cs="Times New Roman"/>
          <w:i/>
          <w:iCs/>
          <w:kern w:val="0"/>
          <w:sz w:val="24"/>
          <w:szCs w:val="24"/>
          <w14:ligatures w14:val="none"/>
        </w:rPr>
        <w:t>o ABW oraz AW</w:t>
      </w:r>
      <w:r w:rsidRPr="00BC4429">
        <w:rPr>
          <w:rFonts w:ascii="Times New Roman" w:eastAsia="Calibri" w:hAnsi="Times New Roman" w:cs="Times New Roman"/>
          <w:kern w:val="0"/>
          <w:sz w:val="24"/>
          <w:szCs w:val="24"/>
          <w14:ligatures w14:val="none"/>
        </w:rPr>
        <w:t xml:space="preserve"> i art. 14 ust. 1 ustawy </w:t>
      </w:r>
      <w:r w:rsidRPr="00BC4429">
        <w:rPr>
          <w:rFonts w:ascii="Times New Roman" w:eastAsia="Calibri" w:hAnsi="Times New Roman" w:cs="Times New Roman"/>
          <w:i/>
          <w:iCs/>
          <w:kern w:val="0"/>
          <w:sz w:val="24"/>
          <w:szCs w:val="24"/>
          <w14:ligatures w14:val="none"/>
        </w:rPr>
        <w:t>o CBA</w:t>
      </w:r>
      <w:r w:rsidRPr="00BC4429">
        <w:rPr>
          <w:rFonts w:ascii="Times New Roman" w:eastAsia="Calibri" w:hAnsi="Times New Roman" w:cs="Times New Roman"/>
          <w:kern w:val="0"/>
          <w:sz w:val="24"/>
          <w:szCs w:val="24"/>
          <w14:ligatures w14:val="none"/>
        </w:rPr>
        <w:t xml:space="preserve">). </w:t>
      </w:r>
    </w:p>
    <w:p w14:paraId="73EA4293"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 xml:space="preserve">W szczególności przy realizacji wskazanych czynności w ramach obowiązków ochronnych funkcjonariusz będzie miał obowiązek podania stopnia, imienia, nazwiska oraz przyczyny podjęcia czynności, a na żądanie osoby, wobec której jest prowadzona czynność, podania podstawy prawnej podjęcia tej czynności. Funkcjonariusz nieumundurowany okazuje dodatkowo legitymację służbową, a na żądanie czyni to w sposób umożliwiający odnotowanie danych w niej zawartych. W tym miejscu należy zasygnalizować, odmienności w proponowanym sposobie regulacji tej materii w odniesieniu do Centralnego Biura Antykorupcyjnego, które wynikają z faktu, że jest to formacja nieumundurowana, w której nie funkcjonują stopnie służbowe. </w:t>
      </w:r>
    </w:p>
    <w:p w14:paraId="7D08FD68"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 xml:space="preserve">Kolejnym rozwiązaniem gwarancyjnym jest jednoznaczne wskazanie uprawnienia do złożenia zażalenia do właściwego prokuratora na sposób przeprowadzenia wskazanych czynności. O prawie tym osoba musi zostać pouczona, co nie dotyczy sytuacji gdy jest </w:t>
      </w:r>
      <w:r w:rsidRPr="00BC4429">
        <w:rPr>
          <w:rFonts w:ascii="Times New Roman" w:eastAsia="Calibri" w:hAnsi="Times New Roman" w:cs="Times New Roman"/>
          <w:kern w:val="0"/>
          <w:sz w:val="24"/>
          <w:szCs w:val="24"/>
          <w14:ligatures w14:val="none"/>
        </w:rPr>
        <w:lastRenderedPageBreak/>
        <w:t xml:space="preserve">nieobecna, a czynność związana jest z usunięciem pojazdu lub zniszczeniem, unieruchomieniem albo przejęciem bezzałogowego statku powietrznego. </w:t>
      </w:r>
    </w:p>
    <w:p w14:paraId="5CEE704C"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 xml:space="preserve">Należy w tym miejscu zauważyć, że projekt ustawy nie wprowadza zmian w zakresie już istniejących uprawnień służb specjalnych oraz reżimu ich stosowania. W szczególności nowe rozwiązania gwarancyjne nie obejmują tych czynności, dla których już funkcjonują stosowane regulacje. Dotyczy to przede wszystkim sprawdzenia prewencyjnego, które obecnie jest uregulowane szczegółowo w art. 43a ustawy </w:t>
      </w:r>
      <w:r w:rsidRPr="00BC4429">
        <w:rPr>
          <w:rFonts w:ascii="Times New Roman" w:eastAsia="Calibri" w:hAnsi="Times New Roman" w:cs="Times New Roman"/>
          <w:i/>
          <w:iCs/>
          <w:kern w:val="0"/>
          <w:sz w:val="24"/>
          <w:szCs w:val="24"/>
          <w14:ligatures w14:val="none"/>
        </w:rPr>
        <w:t>o ABW oraz AW</w:t>
      </w:r>
      <w:r w:rsidRPr="00BC4429">
        <w:rPr>
          <w:rFonts w:ascii="Times New Roman" w:eastAsia="Calibri" w:hAnsi="Times New Roman" w:cs="Times New Roman"/>
          <w:kern w:val="0"/>
          <w:sz w:val="24"/>
          <w:szCs w:val="24"/>
          <w14:ligatures w14:val="none"/>
        </w:rPr>
        <w:t xml:space="preserve">, art. 30a ustawy </w:t>
      </w:r>
      <w:r w:rsidRPr="00BC4429">
        <w:rPr>
          <w:rFonts w:ascii="Times New Roman" w:eastAsia="Calibri" w:hAnsi="Times New Roman" w:cs="Times New Roman"/>
          <w:i/>
          <w:iCs/>
          <w:kern w:val="0"/>
          <w:sz w:val="24"/>
          <w:szCs w:val="24"/>
          <w14:ligatures w14:val="none"/>
        </w:rPr>
        <w:t>o CBA</w:t>
      </w:r>
      <w:r w:rsidRPr="00BC4429">
        <w:rPr>
          <w:rFonts w:ascii="Times New Roman" w:eastAsia="Calibri" w:hAnsi="Times New Roman" w:cs="Times New Roman"/>
          <w:kern w:val="0"/>
          <w:sz w:val="24"/>
          <w:szCs w:val="24"/>
          <w14:ligatures w14:val="none"/>
        </w:rPr>
        <w:t xml:space="preserve"> oraz art. 44a ustawy </w:t>
      </w:r>
      <w:r w:rsidRPr="00BC4429">
        <w:rPr>
          <w:rFonts w:ascii="Times New Roman" w:eastAsia="Calibri" w:hAnsi="Times New Roman" w:cs="Times New Roman"/>
          <w:i/>
          <w:iCs/>
          <w:kern w:val="0"/>
          <w:sz w:val="24"/>
          <w:szCs w:val="24"/>
          <w14:ligatures w14:val="none"/>
        </w:rPr>
        <w:t xml:space="preserve">o SKW oraz SWW. </w:t>
      </w:r>
    </w:p>
    <w:p w14:paraId="4256F4A4" w14:textId="77777777" w:rsidR="00BC4429" w:rsidRPr="00BC4429" w:rsidRDefault="00BC4429" w:rsidP="00BC4429">
      <w:pPr>
        <w:spacing w:after="120" w:line="360" w:lineRule="auto"/>
        <w:ind w:firstLine="708"/>
        <w:contextualSpacing/>
        <w:jc w:val="both"/>
        <w:rPr>
          <w:rFonts w:ascii="Times New Roman" w:eastAsia="Calibri" w:hAnsi="Times New Roman" w:cs="Times New Roman"/>
          <w:kern w:val="0"/>
          <w:sz w:val="24"/>
          <w:szCs w:val="24"/>
          <w14:ligatures w14:val="none"/>
        </w:rPr>
      </w:pPr>
      <w:r w:rsidRPr="00BC4429">
        <w:rPr>
          <w:rFonts w:ascii="Times New Roman" w:eastAsia="Calibri" w:hAnsi="Times New Roman" w:cs="Times New Roman"/>
          <w:kern w:val="0"/>
          <w:sz w:val="24"/>
          <w:szCs w:val="24"/>
          <w14:ligatures w14:val="none"/>
        </w:rPr>
        <w:t xml:space="preserve">Projekt ustawy nie wprowadza także zmian w zakresie użycia lub wykorzystania środków przymusu bezpośredniego i broni palnej. W tym zakresie funkcjonują wyczerpujące regulacje ustawowe. W konwencji projekt nie obejmuje swoim zakresem m.in. art. 30 ust. 2 pkt 2a ustawy o CBA, który dotyczy właśnie czynności z tego zakresu. W tym konkrecie należy przypomnieć, że do służb specjalnych zastosowanie ma ustawa z 24 maja 2013 r. o środkach przymusu bezpośredniego i broni palnej (Dz.U. z 2026 r. poz. 244). W kontekście zadań ochronnych zasygnalizowania wymaga, że akt ten w art. 11 pkt 2 wskazuje, że „środków przymusu bezpośredniego można użyć lub wykorzystać je w przypadku konieczności odparcia bezpośredniego, bezprawnego zamachu na życie, zdrowie lub wolność uprawnionego lub innej osoby.”. Z kolei art. 45 pkt 1 lit. a uprawnia do użycia broni palnej, gdy zaistnieje konieczność „odparcia bezpośredniego, bezprawnego zamachu na życie, zdrowie lub wolność uprawnionego lub innej osoby albo konieczność przeciwdziałania czynnościom zmierzającym bezpośrednio do takiego zamachu”. Jeszcze raz należy zatem podkreślić, że przedstawiony projekt ustawy nie wprowadza żadnych zmian w tym zakresie. </w:t>
      </w:r>
    </w:p>
    <w:p w14:paraId="67EDE97B" w14:textId="0EE0F0C8" w:rsidR="00EF6243" w:rsidRPr="009060D0" w:rsidRDefault="00BC4429" w:rsidP="009060D0">
      <w:pPr>
        <w:spacing w:after="120" w:line="360" w:lineRule="auto"/>
        <w:ind w:firstLine="708"/>
        <w:contextualSpacing/>
        <w:jc w:val="both"/>
        <w:rPr>
          <w:rFonts w:ascii="Times New Roman" w:eastAsia="Calibri" w:hAnsi="Times New Roman" w:cs="Times New Roman"/>
          <w:bCs/>
          <w:kern w:val="0"/>
          <w:sz w:val="24"/>
          <w:szCs w:val="24"/>
          <w14:ligatures w14:val="none"/>
        </w:rPr>
      </w:pPr>
      <w:r w:rsidRPr="00BC4429">
        <w:rPr>
          <w:rFonts w:ascii="Times New Roman" w:eastAsia="Calibri" w:hAnsi="Times New Roman" w:cs="Times New Roman"/>
          <w:bCs/>
          <w:kern w:val="0"/>
          <w:sz w:val="24"/>
          <w:szCs w:val="24"/>
          <w14:ligatures w14:val="none"/>
        </w:rPr>
        <w:t>Proponuje się, aby przedmiotowa ustawa weszła w życie po upływie 30 dni od dnia ogłoszenia.</w:t>
      </w:r>
    </w:p>
    <w:sectPr w:rsidR="00EF6243" w:rsidRPr="009060D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EAEBF" w14:textId="77777777" w:rsidR="009B371F" w:rsidRDefault="009B371F" w:rsidP="00C073F6">
      <w:pPr>
        <w:spacing w:after="0" w:line="240" w:lineRule="auto"/>
      </w:pPr>
      <w:r>
        <w:separator/>
      </w:r>
    </w:p>
  </w:endnote>
  <w:endnote w:type="continuationSeparator" w:id="0">
    <w:p w14:paraId="4108A3C4" w14:textId="77777777" w:rsidR="009B371F" w:rsidRDefault="009B371F" w:rsidP="00C07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847AD" w14:textId="77777777" w:rsidR="009B371F" w:rsidRDefault="009B371F" w:rsidP="00C073F6">
      <w:pPr>
        <w:spacing w:after="0" w:line="240" w:lineRule="auto"/>
      </w:pPr>
      <w:r>
        <w:separator/>
      </w:r>
    </w:p>
  </w:footnote>
  <w:footnote w:type="continuationSeparator" w:id="0">
    <w:p w14:paraId="150E0C31" w14:textId="77777777" w:rsidR="009B371F" w:rsidRDefault="009B371F" w:rsidP="00C073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176DEF"/>
    <w:multiLevelType w:val="hybridMultilevel"/>
    <w:tmpl w:val="626E92AA"/>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16cid:durableId="644970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FB5"/>
    <w:rsid w:val="00004E54"/>
    <w:rsid w:val="0005516A"/>
    <w:rsid w:val="000C3297"/>
    <w:rsid w:val="000F0026"/>
    <w:rsid w:val="001001A5"/>
    <w:rsid w:val="00110A07"/>
    <w:rsid w:val="001928A3"/>
    <w:rsid w:val="001F3933"/>
    <w:rsid w:val="002B25C9"/>
    <w:rsid w:val="0033001D"/>
    <w:rsid w:val="003A2C39"/>
    <w:rsid w:val="00454C15"/>
    <w:rsid w:val="004C3CE9"/>
    <w:rsid w:val="00501677"/>
    <w:rsid w:val="00587DED"/>
    <w:rsid w:val="005C2EC6"/>
    <w:rsid w:val="0061293F"/>
    <w:rsid w:val="00757ACC"/>
    <w:rsid w:val="007A4095"/>
    <w:rsid w:val="007D297E"/>
    <w:rsid w:val="0080405A"/>
    <w:rsid w:val="00822128"/>
    <w:rsid w:val="0087689F"/>
    <w:rsid w:val="008A55C1"/>
    <w:rsid w:val="008C7271"/>
    <w:rsid w:val="008C757A"/>
    <w:rsid w:val="00900930"/>
    <w:rsid w:val="009060D0"/>
    <w:rsid w:val="00911D70"/>
    <w:rsid w:val="009614BA"/>
    <w:rsid w:val="009B371F"/>
    <w:rsid w:val="00A41EF7"/>
    <w:rsid w:val="00A86C56"/>
    <w:rsid w:val="00AC0863"/>
    <w:rsid w:val="00AF41E2"/>
    <w:rsid w:val="00B200B7"/>
    <w:rsid w:val="00BC4429"/>
    <w:rsid w:val="00BC5FB5"/>
    <w:rsid w:val="00C073F6"/>
    <w:rsid w:val="00C21A5C"/>
    <w:rsid w:val="00C4596E"/>
    <w:rsid w:val="00C80F0C"/>
    <w:rsid w:val="00C96E95"/>
    <w:rsid w:val="00D048C9"/>
    <w:rsid w:val="00D12584"/>
    <w:rsid w:val="00D2013A"/>
    <w:rsid w:val="00D258E3"/>
    <w:rsid w:val="00DD67AF"/>
    <w:rsid w:val="00E4164A"/>
    <w:rsid w:val="00E641DE"/>
    <w:rsid w:val="00EA74C9"/>
    <w:rsid w:val="00EB7AEF"/>
    <w:rsid w:val="00EF6243"/>
    <w:rsid w:val="00F40B1D"/>
    <w:rsid w:val="00F639AE"/>
    <w:rsid w:val="00FE0E06"/>
    <w:rsid w:val="00FE78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1D9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C5FB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BC5FB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BC5FB5"/>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BC5FB5"/>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BC5FB5"/>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BC5FB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C5FB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C5FB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C5FB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C5FB5"/>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BC5FB5"/>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BC5FB5"/>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BC5FB5"/>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BC5FB5"/>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BC5FB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C5FB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C5FB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C5FB5"/>
    <w:rPr>
      <w:rFonts w:eastAsiaTheme="majorEastAsia" w:cstheme="majorBidi"/>
      <w:color w:val="272727" w:themeColor="text1" w:themeTint="D8"/>
    </w:rPr>
  </w:style>
  <w:style w:type="paragraph" w:styleId="Tytu">
    <w:name w:val="Title"/>
    <w:basedOn w:val="Normalny"/>
    <w:next w:val="Normalny"/>
    <w:link w:val="TytuZnak"/>
    <w:uiPriority w:val="10"/>
    <w:qFormat/>
    <w:rsid w:val="00BC5F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C5FB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C5FB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C5FB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C5FB5"/>
    <w:pPr>
      <w:spacing w:before="160"/>
      <w:jc w:val="center"/>
    </w:pPr>
    <w:rPr>
      <w:i/>
      <w:iCs/>
      <w:color w:val="404040" w:themeColor="text1" w:themeTint="BF"/>
    </w:rPr>
  </w:style>
  <w:style w:type="character" w:customStyle="1" w:styleId="CytatZnak">
    <w:name w:val="Cytat Znak"/>
    <w:basedOn w:val="Domylnaczcionkaakapitu"/>
    <w:link w:val="Cytat"/>
    <w:uiPriority w:val="29"/>
    <w:rsid w:val="00BC5FB5"/>
    <w:rPr>
      <w:i/>
      <w:iCs/>
      <w:color w:val="404040" w:themeColor="text1" w:themeTint="BF"/>
    </w:rPr>
  </w:style>
  <w:style w:type="paragraph" w:styleId="Akapitzlist">
    <w:name w:val="List Paragraph"/>
    <w:basedOn w:val="Normalny"/>
    <w:uiPriority w:val="34"/>
    <w:qFormat/>
    <w:rsid w:val="00BC5FB5"/>
    <w:pPr>
      <w:ind w:left="720"/>
      <w:contextualSpacing/>
    </w:pPr>
  </w:style>
  <w:style w:type="character" w:styleId="Wyrnienieintensywne">
    <w:name w:val="Intense Emphasis"/>
    <w:basedOn w:val="Domylnaczcionkaakapitu"/>
    <w:uiPriority w:val="21"/>
    <w:qFormat/>
    <w:rsid w:val="00BC5FB5"/>
    <w:rPr>
      <w:i/>
      <w:iCs/>
      <w:color w:val="2E74B5" w:themeColor="accent1" w:themeShade="BF"/>
    </w:rPr>
  </w:style>
  <w:style w:type="paragraph" w:styleId="Cytatintensywny">
    <w:name w:val="Intense Quote"/>
    <w:basedOn w:val="Normalny"/>
    <w:next w:val="Normalny"/>
    <w:link w:val="CytatintensywnyZnak"/>
    <w:uiPriority w:val="30"/>
    <w:qFormat/>
    <w:rsid w:val="00BC5FB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BC5FB5"/>
    <w:rPr>
      <w:i/>
      <w:iCs/>
      <w:color w:val="2E74B5" w:themeColor="accent1" w:themeShade="BF"/>
    </w:rPr>
  </w:style>
  <w:style w:type="character" w:styleId="Odwoanieintensywne">
    <w:name w:val="Intense Reference"/>
    <w:basedOn w:val="Domylnaczcionkaakapitu"/>
    <w:uiPriority w:val="32"/>
    <w:qFormat/>
    <w:rsid w:val="00BC5FB5"/>
    <w:rPr>
      <w:b/>
      <w:bCs/>
      <w:smallCaps/>
      <w:color w:val="2E74B5" w:themeColor="accent1" w:themeShade="BF"/>
      <w:spacing w:val="5"/>
    </w:rPr>
  </w:style>
  <w:style w:type="paragraph" w:styleId="Nagwek">
    <w:name w:val="header"/>
    <w:basedOn w:val="Normalny"/>
    <w:link w:val="NagwekZnak"/>
    <w:uiPriority w:val="99"/>
    <w:unhideWhenUsed/>
    <w:rsid w:val="00C073F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073F6"/>
  </w:style>
  <w:style w:type="paragraph" w:styleId="Stopka">
    <w:name w:val="footer"/>
    <w:basedOn w:val="Normalny"/>
    <w:link w:val="StopkaZnak"/>
    <w:uiPriority w:val="99"/>
    <w:unhideWhenUsed/>
    <w:rsid w:val="00C073F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07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1777</Words>
  <Characters>10663</Characters>
  <Application>Microsoft Office Word</Application>
  <DocSecurity>0</DocSecurity>
  <Lines>88</Lines>
  <Paragraphs>24</Paragraphs>
  <ScaleCrop>false</ScaleCrop>
  <Company/>
  <LinksUpToDate>false</LinksUpToDate>
  <CharactersWithSpaces>12416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2026-09-02T07:15:00Z</dcterms:created>
  <dcterms:modified xsi:type="dcterms:W3CDTF">2026-09-02T07:15:00Z</dcterms:modified>
</cp:coreProperties>
</file>