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24B36" w14:textId="77777777" w:rsidR="006714F6" w:rsidRPr="0056465F" w:rsidRDefault="006714F6" w:rsidP="0056465F">
      <w:pPr>
        <w:spacing w:before="120" w:after="0" w:line="360" w:lineRule="auto"/>
        <w:jc w:val="center"/>
        <w:rPr>
          <w:rFonts w:ascii="Times New Roman" w:hAnsi="Times New Roman"/>
          <w:bCs/>
          <w:sz w:val="24"/>
          <w:szCs w:val="24"/>
        </w:rPr>
      </w:pPr>
      <w:r w:rsidRPr="0056465F">
        <w:rPr>
          <w:rFonts w:ascii="Times New Roman" w:hAnsi="Times New Roman"/>
          <w:bCs/>
          <w:sz w:val="24"/>
          <w:szCs w:val="24"/>
        </w:rPr>
        <w:t>UZASADNIENIE</w:t>
      </w:r>
    </w:p>
    <w:p w14:paraId="25BA0658" w14:textId="274A59EF" w:rsidR="00C8577F" w:rsidRPr="00557CEF" w:rsidRDefault="00C8577F"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 xml:space="preserve">Ustawa </w:t>
      </w:r>
      <w:bookmarkStart w:id="0" w:name="_Hlk166501311"/>
      <w:r w:rsidRPr="00557CEF">
        <w:rPr>
          <w:rFonts w:ascii="Times New Roman" w:hAnsi="Times New Roman"/>
          <w:sz w:val="24"/>
          <w:szCs w:val="24"/>
        </w:rPr>
        <w:t>z dnia 11 września 2015 r. o zmianie ustawy o prawie autorskim i prawach pokrewnych oraz ustawy o grach hazardowych</w:t>
      </w:r>
      <w:bookmarkEnd w:id="0"/>
      <w:r w:rsidRPr="00557CEF">
        <w:rPr>
          <w:rFonts w:ascii="Times New Roman" w:hAnsi="Times New Roman"/>
          <w:sz w:val="24"/>
          <w:szCs w:val="24"/>
        </w:rPr>
        <w:t xml:space="preserve"> (Dz. U. poz. 1639 oraz z 2024 r. poz. 1926) wdrożyła do polskiego porządku prawnego</w:t>
      </w:r>
      <w:r w:rsidR="00A50574" w:rsidRPr="00557CEF">
        <w:rPr>
          <w:rFonts w:ascii="Times New Roman" w:hAnsi="Times New Roman"/>
          <w:sz w:val="24"/>
          <w:szCs w:val="24"/>
        </w:rPr>
        <w:t xml:space="preserve"> przepisy</w:t>
      </w:r>
      <w:r w:rsidRPr="00557CEF">
        <w:rPr>
          <w:rFonts w:ascii="Times New Roman" w:hAnsi="Times New Roman"/>
          <w:sz w:val="24"/>
          <w:szCs w:val="24"/>
        </w:rPr>
        <w:t xml:space="preserve"> </w:t>
      </w:r>
      <w:r w:rsidRPr="00557CEF">
        <w:rPr>
          <w:rFonts w:ascii="Times New Roman" w:hAnsi="Times New Roman"/>
          <w:i/>
          <w:sz w:val="24"/>
          <w:szCs w:val="24"/>
        </w:rPr>
        <w:t>dyrektyw</w:t>
      </w:r>
      <w:r w:rsidR="00A50574" w:rsidRPr="00557CEF">
        <w:rPr>
          <w:rFonts w:ascii="Times New Roman" w:hAnsi="Times New Roman"/>
          <w:i/>
          <w:sz w:val="24"/>
          <w:szCs w:val="24"/>
        </w:rPr>
        <w:t>y</w:t>
      </w:r>
      <w:r w:rsidRPr="00557CEF">
        <w:rPr>
          <w:rFonts w:ascii="Times New Roman" w:hAnsi="Times New Roman"/>
          <w:i/>
          <w:sz w:val="24"/>
          <w:szCs w:val="24"/>
        </w:rPr>
        <w:t xml:space="preserve"> 2006/115/WE Parlamentu Europejskiego i</w:t>
      </w:r>
      <w:r w:rsidR="008A1377" w:rsidRPr="00557CEF">
        <w:rPr>
          <w:rFonts w:ascii="Times New Roman" w:hAnsi="Times New Roman"/>
          <w:i/>
          <w:sz w:val="24"/>
          <w:szCs w:val="24"/>
        </w:rPr>
        <w:t> </w:t>
      </w:r>
      <w:r w:rsidRPr="00557CEF">
        <w:rPr>
          <w:rFonts w:ascii="Times New Roman" w:hAnsi="Times New Roman"/>
          <w:i/>
          <w:sz w:val="24"/>
          <w:szCs w:val="24"/>
        </w:rPr>
        <w:t xml:space="preserve">Rady z dnia 12 grudnia 2006 r. w sprawie prawa najmu i użyczenia oraz niektórych praw pokrewnych prawu autorskiemu w zakresie własności </w:t>
      </w:r>
      <w:r w:rsidRPr="00557CEF">
        <w:rPr>
          <w:rFonts w:ascii="Times New Roman" w:hAnsi="Times New Roman"/>
          <w:i/>
          <w:iCs/>
          <w:sz w:val="24"/>
          <w:szCs w:val="24"/>
        </w:rPr>
        <w:t>intelektualnej</w:t>
      </w:r>
      <w:r w:rsidRPr="00557CEF">
        <w:rPr>
          <w:rFonts w:ascii="Times New Roman" w:hAnsi="Times New Roman"/>
          <w:iCs/>
          <w:sz w:val="24"/>
          <w:szCs w:val="24"/>
        </w:rPr>
        <w:t xml:space="preserve"> </w:t>
      </w:r>
      <w:r w:rsidR="000F6057" w:rsidRPr="00557CEF">
        <w:rPr>
          <w:rFonts w:ascii="Times New Roman" w:hAnsi="Times New Roman"/>
          <w:iCs/>
          <w:sz w:val="24"/>
          <w:szCs w:val="24"/>
        </w:rPr>
        <w:t xml:space="preserve">(wersja ujednolicona) </w:t>
      </w:r>
      <w:r w:rsidRPr="00557CEF">
        <w:rPr>
          <w:rFonts w:ascii="Times New Roman" w:hAnsi="Times New Roman"/>
          <w:iCs/>
          <w:sz w:val="24"/>
          <w:szCs w:val="24"/>
        </w:rPr>
        <w:t>(Dz.</w:t>
      </w:r>
      <w:r w:rsidR="008A1377" w:rsidRPr="00557CEF">
        <w:rPr>
          <w:rFonts w:ascii="Times New Roman" w:hAnsi="Times New Roman"/>
          <w:iCs/>
          <w:sz w:val="24"/>
          <w:szCs w:val="24"/>
        </w:rPr>
        <w:t> </w:t>
      </w:r>
      <w:r w:rsidRPr="00557CEF">
        <w:rPr>
          <w:rFonts w:ascii="Times New Roman" w:hAnsi="Times New Roman"/>
          <w:iCs/>
          <w:sz w:val="24"/>
          <w:szCs w:val="24"/>
        </w:rPr>
        <w:t>Urz. UE L 376 z 27.12.2006, s. 28)</w:t>
      </w:r>
      <w:r w:rsidR="0016285E" w:rsidRPr="00557CEF">
        <w:rPr>
          <w:rFonts w:ascii="Times New Roman" w:hAnsi="Times New Roman"/>
          <w:sz w:val="24"/>
          <w:szCs w:val="24"/>
        </w:rPr>
        <w:t>.</w:t>
      </w:r>
      <w:r w:rsidR="00A50574" w:rsidRPr="00557CEF">
        <w:rPr>
          <w:rFonts w:ascii="Times New Roman" w:hAnsi="Times New Roman"/>
          <w:sz w:val="24"/>
          <w:szCs w:val="24"/>
        </w:rPr>
        <w:t xml:space="preserve"> </w:t>
      </w:r>
      <w:r w:rsidR="0016285E" w:rsidRPr="00557CEF">
        <w:rPr>
          <w:rFonts w:ascii="Times New Roman" w:hAnsi="Times New Roman"/>
          <w:sz w:val="24"/>
          <w:szCs w:val="24"/>
        </w:rPr>
        <w:t>D</w:t>
      </w:r>
      <w:r w:rsidR="00A50574" w:rsidRPr="00557CEF">
        <w:rPr>
          <w:rFonts w:ascii="Times New Roman" w:hAnsi="Times New Roman"/>
          <w:sz w:val="24"/>
          <w:szCs w:val="24"/>
        </w:rPr>
        <w:t>yrektywa nałożyła na państwa członkowskie obowiązek zapewnienia twórcom oraz innym uprawnionym prawa do wynagrodzenia z tytułu publicznego użyczania egzemplarzy utworów</w:t>
      </w:r>
      <w:r w:rsidR="00393AB2" w:rsidRPr="00557CEF">
        <w:rPr>
          <w:rFonts w:ascii="Times New Roman" w:hAnsi="Times New Roman"/>
          <w:sz w:val="24"/>
          <w:szCs w:val="24"/>
        </w:rPr>
        <w:t xml:space="preserve"> wyrażonych słowem</w:t>
      </w:r>
      <w:r w:rsidR="00A50574" w:rsidRPr="00557CEF">
        <w:rPr>
          <w:rFonts w:ascii="Times New Roman" w:hAnsi="Times New Roman"/>
          <w:sz w:val="24"/>
          <w:szCs w:val="24"/>
        </w:rPr>
        <w:t xml:space="preserve"> przez instytucje dostępne dla ogółu społeczeństwa, w szczególności przez biblioteki publiczne </w:t>
      </w:r>
      <w:r w:rsidRPr="00557CEF">
        <w:rPr>
          <w:rFonts w:ascii="Times New Roman" w:hAnsi="Times New Roman"/>
          <w:sz w:val="24"/>
          <w:szCs w:val="24"/>
        </w:rPr>
        <w:t xml:space="preserve">(tzw. </w:t>
      </w:r>
      <w:r w:rsidR="0016285E" w:rsidRPr="00557CEF">
        <w:rPr>
          <w:rFonts w:ascii="Times New Roman" w:hAnsi="Times New Roman"/>
          <w:i/>
          <w:sz w:val="24"/>
          <w:szCs w:val="24"/>
        </w:rPr>
        <w:t>P</w:t>
      </w:r>
      <w:r w:rsidRPr="00557CEF">
        <w:rPr>
          <w:rFonts w:ascii="Times New Roman" w:hAnsi="Times New Roman"/>
          <w:i/>
          <w:sz w:val="24"/>
          <w:szCs w:val="24"/>
        </w:rPr>
        <w:t xml:space="preserve">ublic </w:t>
      </w:r>
      <w:r w:rsidR="0016285E" w:rsidRPr="00557CEF">
        <w:rPr>
          <w:rFonts w:ascii="Times New Roman" w:hAnsi="Times New Roman"/>
          <w:i/>
          <w:sz w:val="24"/>
          <w:szCs w:val="24"/>
        </w:rPr>
        <w:t>L</w:t>
      </w:r>
      <w:r w:rsidRPr="00557CEF">
        <w:rPr>
          <w:rFonts w:ascii="Times New Roman" w:hAnsi="Times New Roman"/>
          <w:i/>
          <w:sz w:val="24"/>
          <w:szCs w:val="24"/>
        </w:rPr>
        <w:t xml:space="preserve">ending </w:t>
      </w:r>
      <w:r w:rsidR="0016285E" w:rsidRPr="00557CEF">
        <w:rPr>
          <w:rFonts w:ascii="Times New Roman" w:hAnsi="Times New Roman"/>
          <w:i/>
          <w:sz w:val="24"/>
          <w:szCs w:val="24"/>
        </w:rPr>
        <w:t>R</w:t>
      </w:r>
      <w:r w:rsidRPr="00557CEF">
        <w:rPr>
          <w:rFonts w:ascii="Times New Roman" w:hAnsi="Times New Roman"/>
          <w:i/>
          <w:sz w:val="24"/>
          <w:szCs w:val="24"/>
        </w:rPr>
        <w:t>ight</w:t>
      </w:r>
      <w:r w:rsidRPr="00557CEF">
        <w:rPr>
          <w:rFonts w:ascii="Times New Roman" w:hAnsi="Times New Roman"/>
          <w:iCs/>
          <w:sz w:val="24"/>
          <w:szCs w:val="24"/>
        </w:rPr>
        <w:t xml:space="preserve"> (PLR)</w:t>
      </w:r>
      <w:r w:rsidRPr="00557CEF">
        <w:rPr>
          <w:rFonts w:ascii="Times New Roman" w:hAnsi="Times New Roman"/>
          <w:sz w:val="24"/>
          <w:szCs w:val="24"/>
        </w:rPr>
        <w:t>).</w:t>
      </w:r>
    </w:p>
    <w:p w14:paraId="6C9232A3" w14:textId="5E48BC36" w:rsidR="00C8577F" w:rsidRPr="00557CEF" w:rsidRDefault="00C8577F"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 xml:space="preserve">Implementacja do polskiego porządku prawnego przepisów regulujących </w:t>
      </w:r>
      <w:r w:rsidR="000F6057" w:rsidRPr="00557CEF">
        <w:rPr>
          <w:rFonts w:ascii="Times New Roman" w:hAnsi="Times New Roman"/>
          <w:iCs/>
          <w:sz w:val="24"/>
          <w:szCs w:val="24"/>
        </w:rPr>
        <w:t>PLR</w:t>
      </w:r>
      <w:r w:rsidRPr="00557CEF">
        <w:rPr>
          <w:rFonts w:ascii="Times New Roman" w:hAnsi="Times New Roman"/>
          <w:iCs/>
          <w:sz w:val="24"/>
          <w:szCs w:val="24"/>
        </w:rPr>
        <w:t xml:space="preserve"> </w:t>
      </w:r>
      <w:r w:rsidRPr="00557CEF">
        <w:rPr>
          <w:rFonts w:ascii="Times New Roman" w:hAnsi="Times New Roman"/>
          <w:sz w:val="24"/>
          <w:szCs w:val="24"/>
        </w:rPr>
        <w:t xml:space="preserve">nastąpiła przez wprowadzenie zmian w art. 18 i art. 28 oraz włączenie do rozdziału 3 ustawy </w:t>
      </w:r>
      <w:r w:rsidR="000F6057" w:rsidRPr="00557CEF">
        <w:rPr>
          <w:rFonts w:ascii="Times New Roman" w:hAnsi="Times New Roman"/>
          <w:sz w:val="24"/>
          <w:szCs w:val="24"/>
        </w:rPr>
        <w:t xml:space="preserve">z </w:t>
      </w:r>
      <w:r w:rsidRPr="00557CEF">
        <w:rPr>
          <w:rFonts w:ascii="Times New Roman" w:hAnsi="Times New Roman"/>
          <w:sz w:val="24"/>
          <w:szCs w:val="24"/>
        </w:rPr>
        <w:t xml:space="preserve">dnia 4 </w:t>
      </w:r>
      <w:r w:rsidR="003C1A06" w:rsidRPr="00557CEF">
        <w:rPr>
          <w:rFonts w:ascii="Times New Roman" w:hAnsi="Times New Roman"/>
          <w:sz w:val="24"/>
          <w:szCs w:val="24"/>
        </w:rPr>
        <w:t>lutego</w:t>
      </w:r>
      <w:r w:rsidRPr="00557CEF">
        <w:rPr>
          <w:rFonts w:ascii="Times New Roman" w:hAnsi="Times New Roman"/>
          <w:sz w:val="24"/>
          <w:szCs w:val="24"/>
        </w:rPr>
        <w:t xml:space="preserve"> 1994 r. o prawie autorskim i prawach pokrewnych (Dz. U. z 2025 r. poz. 24) osobnego oddziału pt. „Zasady określania i wypłaty wynagrodzenia za użyczanie egzemplarzy utworów przez biblioteki publiczne”, zawierającego artykuły od 35</w:t>
      </w:r>
      <w:r w:rsidR="001816E9" w:rsidRPr="0056465F">
        <w:rPr>
          <w:rStyle w:val="IGindeksgrny"/>
          <w:rFonts w:ascii="Times New Roman" w:hAnsi="Times New Roman"/>
          <w:sz w:val="24"/>
          <w:szCs w:val="24"/>
        </w:rPr>
        <w:t>[</w:t>
      </w:r>
      <w:r w:rsidRPr="00557CEF">
        <w:rPr>
          <w:rFonts w:ascii="Times New Roman" w:hAnsi="Times New Roman"/>
          <w:sz w:val="24"/>
          <w:szCs w:val="24"/>
          <w:vertAlign w:val="superscript"/>
        </w:rPr>
        <w:t>1</w:t>
      </w:r>
      <w:r w:rsidR="001816E9" w:rsidRPr="00557CEF">
        <w:rPr>
          <w:rFonts w:ascii="Times New Roman" w:hAnsi="Times New Roman"/>
          <w:sz w:val="24"/>
          <w:szCs w:val="24"/>
          <w:vertAlign w:val="superscript"/>
        </w:rPr>
        <w:t>]</w:t>
      </w:r>
      <w:r w:rsidRPr="00557CEF">
        <w:rPr>
          <w:rFonts w:ascii="Times New Roman" w:hAnsi="Times New Roman"/>
          <w:sz w:val="24"/>
          <w:szCs w:val="24"/>
        </w:rPr>
        <w:t xml:space="preserve"> do 35</w:t>
      </w:r>
      <w:r w:rsidR="001816E9" w:rsidRPr="0056465F">
        <w:rPr>
          <w:rStyle w:val="IGindeksgrny"/>
          <w:rFonts w:ascii="Times New Roman" w:hAnsi="Times New Roman"/>
          <w:sz w:val="24"/>
          <w:szCs w:val="24"/>
        </w:rPr>
        <w:t>[</w:t>
      </w:r>
      <w:r w:rsidRPr="00557CEF">
        <w:rPr>
          <w:rFonts w:ascii="Times New Roman" w:hAnsi="Times New Roman"/>
          <w:sz w:val="24"/>
          <w:szCs w:val="24"/>
          <w:vertAlign w:val="superscript"/>
        </w:rPr>
        <w:t>4</w:t>
      </w:r>
      <w:r w:rsidR="001816E9" w:rsidRPr="00557CEF">
        <w:rPr>
          <w:rFonts w:ascii="Times New Roman" w:hAnsi="Times New Roman"/>
          <w:sz w:val="24"/>
          <w:szCs w:val="24"/>
          <w:vertAlign w:val="superscript"/>
        </w:rPr>
        <w:t>]</w:t>
      </w:r>
      <w:r w:rsidRPr="00557CEF">
        <w:rPr>
          <w:rFonts w:ascii="Times New Roman" w:hAnsi="Times New Roman"/>
          <w:sz w:val="24"/>
          <w:szCs w:val="24"/>
        </w:rPr>
        <w:t>.</w:t>
      </w:r>
    </w:p>
    <w:p w14:paraId="283524B9" w14:textId="6A68F279" w:rsidR="00C8577F" w:rsidRPr="00557CEF" w:rsidRDefault="00C8577F"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 xml:space="preserve">Instytucja </w:t>
      </w:r>
      <w:r w:rsidR="00B5658F" w:rsidRPr="00557CEF">
        <w:rPr>
          <w:rFonts w:ascii="Times New Roman" w:hAnsi="Times New Roman"/>
          <w:iCs/>
          <w:sz w:val="24"/>
          <w:szCs w:val="24"/>
        </w:rPr>
        <w:t>PLR</w:t>
      </w:r>
      <w:r w:rsidR="00A50574" w:rsidRPr="00557CEF">
        <w:rPr>
          <w:rFonts w:ascii="Times New Roman" w:hAnsi="Times New Roman"/>
          <w:sz w:val="24"/>
          <w:szCs w:val="24"/>
        </w:rPr>
        <w:t xml:space="preserve"> stanowi</w:t>
      </w:r>
      <w:r w:rsidRPr="00557CEF">
        <w:rPr>
          <w:rFonts w:ascii="Times New Roman" w:hAnsi="Times New Roman"/>
          <w:sz w:val="24"/>
          <w:szCs w:val="24"/>
        </w:rPr>
        <w:t xml:space="preserve"> wyjątek od zasady wyłącznego prawa twórcy do korzystania z utworu i rozporządzania nim na wszystkich polach eksploatacji, a jednocześnie przewiduje szczególne rozwiązanie kompensacyjne polegające na przyznaniu twórcom i wydawcom wynagrodzenia z</w:t>
      </w:r>
      <w:r w:rsidR="008A1377" w:rsidRPr="00557CEF">
        <w:rPr>
          <w:rFonts w:ascii="Times New Roman" w:hAnsi="Times New Roman"/>
          <w:sz w:val="24"/>
          <w:szCs w:val="24"/>
        </w:rPr>
        <w:t> </w:t>
      </w:r>
      <w:r w:rsidRPr="00557CEF">
        <w:rPr>
          <w:rFonts w:ascii="Times New Roman" w:hAnsi="Times New Roman"/>
          <w:sz w:val="24"/>
          <w:szCs w:val="24"/>
        </w:rPr>
        <w:t>tytułu wypożyczeń bibliotecznych. Wynagrodzenie to pełni funkcję rekompensaty za ograniczenie możliwości czerpania korzyści majątkowych z eksploatacji utworów, wynikające z powszechnego i nieodpłatnego korzystania z książek w bibliotekach publicznych.</w:t>
      </w:r>
    </w:p>
    <w:p w14:paraId="19CEA0E8" w14:textId="0B45BB9F" w:rsidR="00C8577F" w:rsidRPr="00557CEF" w:rsidRDefault="00C8577F"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 xml:space="preserve">Przyjmując ten model, ustawodawca uwzględnił szczególną rolę bibliotek jako instytucji realizujących zadania o fundamentalnym znaczeniu społecznym, w tym zapewniających obywatelom równy i nieodpłatny dostęp do literatury, wiedzy oraz dóbr kultury. Z tego względu zdecydowano się na rozwiązanie, w którym ciężar finansowania wynagrodzeń PLR nie obciąża ani bibliotek, ani użytkowników ich zbiorów, lecz jest ponoszony ze środków publicznych. </w:t>
      </w:r>
    </w:p>
    <w:p w14:paraId="26FF93A3" w14:textId="572B0531" w:rsidR="00C8577F" w:rsidRPr="00557CEF" w:rsidRDefault="00C8577F"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 xml:space="preserve">Tak ukształtowany mechanizm stanowi próbę pogodzenia dwóch istotnych wartości: z jednej strony potrzeby zapewnienia szerokiego, nieodpłatnego dostępu do książek i upowszechniania czytelnictwa, a z drugiej – ochrony słusznych interesów majątkowych twórców i wydawców. Doświadczenia wynikające z funkcjonowania obecnych regulacji wskazują jednak, że obowiązujący poziom dofinansowania, ustalony ponad dekadę temu, nie odpowiada już </w:t>
      </w:r>
      <w:r w:rsidRPr="00557CEF">
        <w:rPr>
          <w:rFonts w:ascii="Times New Roman" w:hAnsi="Times New Roman"/>
          <w:sz w:val="24"/>
          <w:szCs w:val="24"/>
        </w:rPr>
        <w:lastRenderedPageBreak/>
        <w:t>realiom ekonomicznym ani skali korzystania z utworów w bibliotekach publicznych. W</w:t>
      </w:r>
      <w:r w:rsidR="008A1377" w:rsidRPr="00557CEF">
        <w:rPr>
          <w:rFonts w:ascii="Times New Roman" w:hAnsi="Times New Roman"/>
          <w:sz w:val="24"/>
          <w:szCs w:val="24"/>
        </w:rPr>
        <w:t> </w:t>
      </w:r>
      <w:r w:rsidRPr="00557CEF">
        <w:rPr>
          <w:rFonts w:ascii="Times New Roman" w:hAnsi="Times New Roman"/>
          <w:sz w:val="24"/>
          <w:szCs w:val="24"/>
        </w:rPr>
        <w:t xml:space="preserve">szczególności nie uwzględnia on istotnych zmian zachodzących na rynku wydawniczym, wzrostu kosztów działalności twórczej </w:t>
      </w:r>
      <w:r w:rsidR="00A50574" w:rsidRPr="00557CEF">
        <w:rPr>
          <w:rFonts w:ascii="Times New Roman" w:hAnsi="Times New Roman"/>
          <w:sz w:val="24"/>
          <w:szCs w:val="24"/>
        </w:rPr>
        <w:t xml:space="preserve">i wydawniczej </w:t>
      </w:r>
      <w:r w:rsidRPr="00557CEF">
        <w:rPr>
          <w:rFonts w:ascii="Times New Roman" w:hAnsi="Times New Roman"/>
          <w:sz w:val="24"/>
          <w:szCs w:val="24"/>
        </w:rPr>
        <w:t xml:space="preserve">oraz </w:t>
      </w:r>
      <w:r w:rsidR="00A50574" w:rsidRPr="00557CEF">
        <w:rPr>
          <w:rFonts w:ascii="Times New Roman" w:hAnsi="Times New Roman"/>
          <w:sz w:val="24"/>
          <w:szCs w:val="24"/>
        </w:rPr>
        <w:t>niezwykle ważnej</w:t>
      </w:r>
      <w:r w:rsidRPr="00557CEF">
        <w:rPr>
          <w:rFonts w:ascii="Times New Roman" w:hAnsi="Times New Roman"/>
          <w:sz w:val="24"/>
          <w:szCs w:val="24"/>
        </w:rPr>
        <w:t xml:space="preserve"> roli bibliotek jako podstawowego </w:t>
      </w:r>
      <w:r w:rsidR="00A50574" w:rsidRPr="00557CEF">
        <w:rPr>
          <w:rFonts w:ascii="Times New Roman" w:hAnsi="Times New Roman"/>
          <w:sz w:val="24"/>
          <w:szCs w:val="24"/>
        </w:rPr>
        <w:t>źródła</w:t>
      </w:r>
      <w:r w:rsidRPr="00557CEF">
        <w:rPr>
          <w:rFonts w:ascii="Times New Roman" w:hAnsi="Times New Roman"/>
          <w:sz w:val="24"/>
          <w:szCs w:val="24"/>
        </w:rPr>
        <w:t xml:space="preserve"> dostępu do literatury dla szerokich grup społeczeństwa.</w:t>
      </w:r>
    </w:p>
    <w:p w14:paraId="35CFA643" w14:textId="48A3A097" w:rsidR="00C8577F" w:rsidRPr="00557CEF" w:rsidRDefault="00C8577F"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Proponowane podniesienie limitu dofinansowania z 5</w:t>
      </w:r>
      <w:r w:rsidR="00B6778B">
        <w:rPr>
          <w:rFonts w:ascii="Times New Roman" w:hAnsi="Times New Roman"/>
          <w:sz w:val="24"/>
          <w:szCs w:val="24"/>
        </w:rPr>
        <w:t xml:space="preserve"> </w:t>
      </w:r>
      <w:r w:rsidRPr="00557CEF">
        <w:rPr>
          <w:rFonts w:ascii="Times New Roman" w:hAnsi="Times New Roman"/>
          <w:sz w:val="24"/>
          <w:szCs w:val="24"/>
        </w:rPr>
        <w:t>% do 10</w:t>
      </w:r>
      <w:r w:rsidR="00B6778B">
        <w:rPr>
          <w:rFonts w:ascii="Times New Roman" w:hAnsi="Times New Roman"/>
          <w:sz w:val="24"/>
          <w:szCs w:val="24"/>
        </w:rPr>
        <w:t xml:space="preserve"> </w:t>
      </w:r>
      <w:r w:rsidRPr="00557CEF">
        <w:rPr>
          <w:rFonts w:ascii="Times New Roman" w:hAnsi="Times New Roman"/>
          <w:sz w:val="24"/>
          <w:szCs w:val="24"/>
        </w:rPr>
        <w:t>% wartości zakupów materiałów bibliotecznych ma na celu wzmocnienie instytucji PLR jako realnego instrumentu ochrony majątkowych interesów twórców, przy jednoczesnym zachowaniu dotychczasowych zasad funkcjonowania dozwolonego użytku bibliotecznego. Zmiana ta nie prowadzi do modyfikacji charakteru wynagrodzenia ani do ograniczenia dostępu do zbiorów bibliotecznych, lecz służy dostosowaniu poziomu rekompensaty do aktualnych uwarunkowań społecznych i</w:t>
      </w:r>
      <w:r w:rsidR="008A1377" w:rsidRPr="00557CEF">
        <w:rPr>
          <w:rFonts w:ascii="Times New Roman" w:hAnsi="Times New Roman"/>
          <w:sz w:val="24"/>
          <w:szCs w:val="24"/>
        </w:rPr>
        <w:t> </w:t>
      </w:r>
      <w:r w:rsidRPr="00557CEF">
        <w:rPr>
          <w:rFonts w:ascii="Times New Roman" w:hAnsi="Times New Roman"/>
          <w:sz w:val="24"/>
          <w:szCs w:val="24"/>
        </w:rPr>
        <w:t xml:space="preserve">gospodarczych. Pozostaje ona w zgodności z celem dyrektywy </w:t>
      </w:r>
      <w:r w:rsidRPr="00557CEF">
        <w:rPr>
          <w:rFonts w:ascii="Times New Roman" w:hAnsi="Times New Roman"/>
          <w:i/>
          <w:iCs/>
          <w:sz w:val="24"/>
          <w:szCs w:val="24"/>
        </w:rPr>
        <w:t>2006/115/WE</w:t>
      </w:r>
      <w:r w:rsidRPr="00557CEF">
        <w:rPr>
          <w:rFonts w:ascii="Times New Roman" w:hAnsi="Times New Roman"/>
          <w:sz w:val="24"/>
          <w:szCs w:val="24"/>
        </w:rPr>
        <w:t xml:space="preserve"> </w:t>
      </w:r>
      <w:r w:rsidR="00B5658F" w:rsidRPr="0056465F">
        <w:rPr>
          <w:rFonts w:ascii="Times New Roman" w:hAnsi="Times New Roman"/>
          <w:i/>
          <w:color w:val="000000"/>
          <w:sz w:val="24"/>
          <w:szCs w:val="24"/>
        </w:rPr>
        <w:t xml:space="preserve">Parlamentu Europejskiego i Rady z dnia 12 grudnia 2006 r. w sprawie prawa najmu i użyczenia oraz niektórych praw pokrewnych prawu autorskiemu w zakresie własności intelektualnej </w:t>
      </w:r>
      <w:r w:rsidRPr="00557CEF">
        <w:rPr>
          <w:rFonts w:ascii="Times New Roman" w:hAnsi="Times New Roman"/>
          <w:sz w:val="24"/>
          <w:szCs w:val="24"/>
        </w:rPr>
        <w:t xml:space="preserve">oraz z </w:t>
      </w:r>
      <w:r w:rsidRPr="0056465F">
        <w:rPr>
          <w:rFonts w:ascii="Times New Roman" w:hAnsi="Times New Roman"/>
          <w:i/>
          <w:iCs/>
          <w:sz w:val="24"/>
          <w:szCs w:val="24"/>
        </w:rPr>
        <w:t>ratio legis</w:t>
      </w:r>
      <w:r w:rsidRPr="00557CEF">
        <w:rPr>
          <w:rFonts w:ascii="Times New Roman" w:hAnsi="Times New Roman"/>
          <w:sz w:val="24"/>
          <w:szCs w:val="24"/>
        </w:rPr>
        <w:t xml:space="preserve"> krajowych regulacji PLR, któr</w:t>
      </w:r>
      <w:r w:rsidR="00A50574" w:rsidRPr="00557CEF">
        <w:rPr>
          <w:rFonts w:ascii="Times New Roman" w:hAnsi="Times New Roman"/>
          <w:sz w:val="24"/>
          <w:szCs w:val="24"/>
        </w:rPr>
        <w:t>e mają na celu</w:t>
      </w:r>
      <w:r w:rsidRPr="00557CEF">
        <w:rPr>
          <w:rFonts w:ascii="Times New Roman" w:hAnsi="Times New Roman"/>
          <w:sz w:val="24"/>
          <w:szCs w:val="24"/>
        </w:rPr>
        <w:t xml:space="preserve"> utrzymanie równowagi między interesem publicznym w</w:t>
      </w:r>
      <w:r w:rsidR="008A1377" w:rsidRPr="00557CEF">
        <w:rPr>
          <w:rFonts w:ascii="Times New Roman" w:hAnsi="Times New Roman"/>
          <w:sz w:val="24"/>
          <w:szCs w:val="24"/>
        </w:rPr>
        <w:t> </w:t>
      </w:r>
      <w:r w:rsidRPr="00557CEF">
        <w:rPr>
          <w:rFonts w:ascii="Times New Roman" w:hAnsi="Times New Roman"/>
          <w:sz w:val="24"/>
          <w:szCs w:val="24"/>
        </w:rPr>
        <w:t xml:space="preserve">zakresie rozpowszechniania wiedzy i kultury a potrzebą zapewnienia twórcom </w:t>
      </w:r>
      <w:r w:rsidR="00A50574" w:rsidRPr="00557CEF">
        <w:rPr>
          <w:rFonts w:ascii="Times New Roman" w:hAnsi="Times New Roman"/>
          <w:sz w:val="24"/>
          <w:szCs w:val="24"/>
        </w:rPr>
        <w:t>wsparcia w</w:t>
      </w:r>
      <w:r w:rsidR="008A1377" w:rsidRPr="00557CEF">
        <w:rPr>
          <w:rFonts w:ascii="Times New Roman" w:hAnsi="Times New Roman"/>
          <w:sz w:val="24"/>
          <w:szCs w:val="24"/>
        </w:rPr>
        <w:t> </w:t>
      </w:r>
      <w:r w:rsidR="00A50574" w:rsidRPr="00557CEF">
        <w:rPr>
          <w:rFonts w:ascii="Times New Roman" w:hAnsi="Times New Roman"/>
          <w:sz w:val="24"/>
          <w:szCs w:val="24"/>
        </w:rPr>
        <w:t>zakresie</w:t>
      </w:r>
      <w:r w:rsidRPr="00557CEF">
        <w:rPr>
          <w:rFonts w:ascii="Times New Roman" w:hAnsi="Times New Roman"/>
          <w:sz w:val="24"/>
          <w:szCs w:val="24"/>
        </w:rPr>
        <w:t xml:space="preserve"> działalności twórczej.</w:t>
      </w:r>
    </w:p>
    <w:p w14:paraId="212BEE08" w14:textId="485497EC" w:rsidR="002B7581" w:rsidRPr="00557CEF" w:rsidRDefault="007E067E"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 xml:space="preserve">Wypłata wynagrodzeń z tytułu </w:t>
      </w:r>
      <w:r w:rsidR="00B5658F" w:rsidRPr="00557CEF">
        <w:rPr>
          <w:rFonts w:ascii="Times New Roman" w:hAnsi="Times New Roman"/>
          <w:iCs/>
          <w:sz w:val="24"/>
          <w:szCs w:val="24"/>
        </w:rPr>
        <w:t>PLR</w:t>
      </w:r>
      <w:r w:rsidRPr="00557CEF">
        <w:rPr>
          <w:rFonts w:ascii="Times New Roman" w:hAnsi="Times New Roman"/>
          <w:sz w:val="24"/>
          <w:szCs w:val="24"/>
        </w:rPr>
        <w:t xml:space="preserve"> </w:t>
      </w:r>
      <w:r w:rsidR="00FD77E6" w:rsidRPr="00557CEF">
        <w:rPr>
          <w:rFonts w:ascii="Times New Roman" w:hAnsi="Times New Roman"/>
          <w:sz w:val="24"/>
          <w:szCs w:val="24"/>
        </w:rPr>
        <w:t>jest</w:t>
      </w:r>
      <w:r w:rsidRPr="00557CEF">
        <w:rPr>
          <w:rFonts w:ascii="Times New Roman" w:hAnsi="Times New Roman"/>
          <w:sz w:val="24"/>
          <w:szCs w:val="24"/>
        </w:rPr>
        <w:t xml:space="preserve"> realizowana </w:t>
      </w:r>
      <w:r w:rsidR="009377F3" w:rsidRPr="00557CEF">
        <w:rPr>
          <w:rFonts w:ascii="Times New Roman" w:hAnsi="Times New Roman"/>
          <w:sz w:val="24"/>
          <w:szCs w:val="24"/>
        </w:rPr>
        <w:t xml:space="preserve">przez organizację zbiorowego zarządzania prawami autorskimi </w:t>
      </w:r>
      <w:r w:rsidRPr="00557CEF">
        <w:rPr>
          <w:rFonts w:ascii="Times New Roman" w:hAnsi="Times New Roman"/>
          <w:sz w:val="24"/>
          <w:szCs w:val="24"/>
        </w:rPr>
        <w:t xml:space="preserve">z </w:t>
      </w:r>
      <w:r w:rsidR="009377F3" w:rsidRPr="00557CEF">
        <w:rPr>
          <w:rFonts w:ascii="Times New Roman" w:hAnsi="Times New Roman"/>
          <w:sz w:val="24"/>
          <w:szCs w:val="24"/>
        </w:rPr>
        <w:t>dofinansowania</w:t>
      </w:r>
      <w:r w:rsidR="00BF132F" w:rsidRPr="00557CEF">
        <w:rPr>
          <w:rFonts w:ascii="Times New Roman" w:hAnsi="Times New Roman"/>
          <w:sz w:val="24"/>
          <w:szCs w:val="24"/>
        </w:rPr>
        <w:t xml:space="preserve"> </w:t>
      </w:r>
      <w:r w:rsidR="009377F3" w:rsidRPr="00557CEF">
        <w:rPr>
          <w:rFonts w:ascii="Times New Roman" w:hAnsi="Times New Roman"/>
          <w:sz w:val="24"/>
          <w:szCs w:val="24"/>
        </w:rPr>
        <w:t xml:space="preserve">przekazywanego </w:t>
      </w:r>
      <w:r w:rsidR="00F921B3" w:rsidRPr="00557CEF">
        <w:rPr>
          <w:rFonts w:ascii="Times New Roman" w:hAnsi="Times New Roman"/>
          <w:sz w:val="24"/>
          <w:szCs w:val="24"/>
        </w:rPr>
        <w:t xml:space="preserve">jej </w:t>
      </w:r>
      <w:r w:rsidR="009377F3" w:rsidRPr="00557CEF">
        <w:rPr>
          <w:rFonts w:ascii="Times New Roman" w:hAnsi="Times New Roman"/>
          <w:sz w:val="24"/>
          <w:szCs w:val="24"/>
        </w:rPr>
        <w:t xml:space="preserve">przez </w:t>
      </w:r>
      <w:r w:rsidR="00BF132F" w:rsidRPr="00557CEF">
        <w:rPr>
          <w:rFonts w:ascii="Times New Roman" w:hAnsi="Times New Roman"/>
          <w:sz w:val="24"/>
          <w:szCs w:val="24"/>
        </w:rPr>
        <w:t>ministr</w:t>
      </w:r>
      <w:r w:rsidR="009377F3" w:rsidRPr="00557CEF">
        <w:rPr>
          <w:rFonts w:ascii="Times New Roman" w:hAnsi="Times New Roman"/>
          <w:sz w:val="24"/>
          <w:szCs w:val="24"/>
        </w:rPr>
        <w:t>a</w:t>
      </w:r>
      <w:r w:rsidR="00BF132F" w:rsidRPr="00557CEF">
        <w:rPr>
          <w:rFonts w:ascii="Times New Roman" w:hAnsi="Times New Roman"/>
          <w:sz w:val="24"/>
          <w:szCs w:val="24"/>
        </w:rPr>
        <w:t xml:space="preserve"> </w:t>
      </w:r>
      <w:r w:rsidR="009377F3" w:rsidRPr="00557CEF">
        <w:rPr>
          <w:rFonts w:ascii="Times New Roman" w:hAnsi="Times New Roman"/>
          <w:sz w:val="24"/>
          <w:szCs w:val="24"/>
        </w:rPr>
        <w:t xml:space="preserve">właściwego </w:t>
      </w:r>
      <w:r w:rsidR="00BF132F" w:rsidRPr="00557CEF">
        <w:rPr>
          <w:rFonts w:ascii="Times New Roman" w:hAnsi="Times New Roman"/>
          <w:sz w:val="24"/>
          <w:szCs w:val="24"/>
        </w:rPr>
        <w:t>d</w:t>
      </w:r>
      <w:r w:rsidR="002154AD" w:rsidRPr="00557CEF">
        <w:rPr>
          <w:rFonts w:ascii="Times New Roman" w:hAnsi="Times New Roman"/>
          <w:sz w:val="24"/>
          <w:szCs w:val="24"/>
        </w:rPr>
        <w:t xml:space="preserve">o </w:t>
      </w:r>
      <w:r w:rsidR="00BF132F" w:rsidRPr="00557CEF">
        <w:rPr>
          <w:rFonts w:ascii="Times New Roman" w:hAnsi="Times New Roman"/>
          <w:sz w:val="24"/>
          <w:szCs w:val="24"/>
        </w:rPr>
        <w:t>s</w:t>
      </w:r>
      <w:r w:rsidR="002154AD" w:rsidRPr="00557CEF">
        <w:rPr>
          <w:rFonts w:ascii="Times New Roman" w:hAnsi="Times New Roman"/>
          <w:sz w:val="24"/>
          <w:szCs w:val="24"/>
        </w:rPr>
        <w:t>praw</w:t>
      </w:r>
      <w:r w:rsidR="00BF132F" w:rsidRPr="00557CEF">
        <w:rPr>
          <w:rFonts w:ascii="Times New Roman" w:hAnsi="Times New Roman"/>
          <w:sz w:val="24"/>
          <w:szCs w:val="24"/>
        </w:rPr>
        <w:t xml:space="preserve"> kultury i </w:t>
      </w:r>
      <w:r w:rsidR="002154AD" w:rsidRPr="00557CEF">
        <w:rPr>
          <w:rFonts w:ascii="Times New Roman" w:hAnsi="Times New Roman"/>
          <w:sz w:val="24"/>
          <w:szCs w:val="24"/>
        </w:rPr>
        <w:t xml:space="preserve">ochrony </w:t>
      </w:r>
      <w:r w:rsidR="00BF132F" w:rsidRPr="00557CEF">
        <w:rPr>
          <w:rFonts w:ascii="Times New Roman" w:hAnsi="Times New Roman"/>
          <w:sz w:val="24"/>
          <w:szCs w:val="24"/>
        </w:rPr>
        <w:t xml:space="preserve">dziedzictwa narodowego </w:t>
      </w:r>
      <w:r w:rsidR="009377F3" w:rsidRPr="00557CEF">
        <w:rPr>
          <w:rFonts w:ascii="Times New Roman" w:hAnsi="Times New Roman"/>
          <w:sz w:val="24"/>
          <w:szCs w:val="24"/>
        </w:rPr>
        <w:t xml:space="preserve">ze środków Funduszu Promocji Kultury, o którym mowa w art. 87 ustawy z dnia 19 listopada 2009 r. </w:t>
      </w:r>
      <w:r w:rsidR="008A1377" w:rsidRPr="00557CEF">
        <w:rPr>
          <w:rFonts w:ascii="Times New Roman" w:hAnsi="Times New Roman"/>
          <w:sz w:val="24"/>
          <w:szCs w:val="24"/>
        </w:rPr>
        <w:t xml:space="preserve">o </w:t>
      </w:r>
      <w:r w:rsidR="009377F3" w:rsidRPr="00557CEF">
        <w:rPr>
          <w:rFonts w:ascii="Times New Roman" w:hAnsi="Times New Roman"/>
          <w:sz w:val="24"/>
          <w:szCs w:val="24"/>
        </w:rPr>
        <w:t>grach hazardowych (</w:t>
      </w:r>
      <w:r w:rsidR="00F66418" w:rsidRPr="00557CEF">
        <w:rPr>
          <w:rFonts w:ascii="Times New Roman" w:hAnsi="Times New Roman"/>
          <w:bCs/>
          <w:sz w:val="24"/>
          <w:szCs w:val="24"/>
        </w:rPr>
        <w:t>Dz. U. z 2025 r. poz. 595</w:t>
      </w:r>
      <w:r w:rsidR="00B5658F" w:rsidRPr="00557CEF">
        <w:rPr>
          <w:rFonts w:ascii="Times New Roman" w:hAnsi="Times New Roman"/>
          <w:bCs/>
          <w:sz w:val="24"/>
          <w:szCs w:val="24"/>
        </w:rPr>
        <w:t xml:space="preserve"> oraz z 2026 r. poz. 176</w:t>
      </w:r>
      <w:r w:rsidR="00B6778B">
        <w:rPr>
          <w:rFonts w:ascii="Times New Roman" w:hAnsi="Times New Roman"/>
          <w:bCs/>
          <w:sz w:val="24"/>
          <w:szCs w:val="24"/>
        </w:rPr>
        <w:t xml:space="preserve"> i 1040</w:t>
      </w:r>
      <w:r w:rsidR="009377F3" w:rsidRPr="00557CEF">
        <w:rPr>
          <w:rFonts w:ascii="Times New Roman" w:hAnsi="Times New Roman"/>
          <w:sz w:val="24"/>
          <w:szCs w:val="24"/>
        </w:rPr>
        <w:t>)</w:t>
      </w:r>
      <w:r w:rsidR="00BF132F" w:rsidRPr="00557CEF">
        <w:rPr>
          <w:rFonts w:ascii="Times New Roman" w:hAnsi="Times New Roman"/>
          <w:sz w:val="24"/>
          <w:szCs w:val="24"/>
        </w:rPr>
        <w:t>.</w:t>
      </w:r>
      <w:r w:rsidR="009406AB" w:rsidRPr="00557CEF">
        <w:rPr>
          <w:rFonts w:ascii="Times New Roman" w:hAnsi="Times New Roman"/>
          <w:sz w:val="24"/>
          <w:szCs w:val="24"/>
        </w:rPr>
        <w:t xml:space="preserve"> </w:t>
      </w:r>
      <w:r w:rsidR="0055750A" w:rsidRPr="00557CEF">
        <w:rPr>
          <w:rFonts w:ascii="Times New Roman" w:hAnsi="Times New Roman"/>
          <w:sz w:val="24"/>
          <w:szCs w:val="24"/>
        </w:rPr>
        <w:t>Ś</w:t>
      </w:r>
      <w:r w:rsidR="00591C09" w:rsidRPr="00557CEF">
        <w:rPr>
          <w:rFonts w:ascii="Times New Roman" w:hAnsi="Times New Roman"/>
          <w:sz w:val="24"/>
          <w:szCs w:val="24"/>
        </w:rPr>
        <w:t>rodki</w:t>
      </w:r>
      <w:r w:rsidR="0055750A" w:rsidRPr="00557CEF">
        <w:rPr>
          <w:rFonts w:ascii="Times New Roman" w:hAnsi="Times New Roman"/>
          <w:sz w:val="24"/>
          <w:szCs w:val="24"/>
        </w:rPr>
        <w:t xml:space="preserve"> te</w:t>
      </w:r>
      <w:r w:rsidR="00591C09" w:rsidRPr="00557CEF">
        <w:rPr>
          <w:rFonts w:ascii="Times New Roman" w:hAnsi="Times New Roman"/>
          <w:sz w:val="24"/>
          <w:szCs w:val="24"/>
        </w:rPr>
        <w:t xml:space="preserve"> przekazywane </w:t>
      </w:r>
      <w:r w:rsidR="00FD77E6" w:rsidRPr="00557CEF">
        <w:rPr>
          <w:rFonts w:ascii="Times New Roman" w:hAnsi="Times New Roman"/>
          <w:sz w:val="24"/>
          <w:szCs w:val="24"/>
        </w:rPr>
        <w:t>s</w:t>
      </w:r>
      <w:r w:rsidR="009377F3" w:rsidRPr="00557CEF">
        <w:rPr>
          <w:rFonts w:ascii="Times New Roman" w:hAnsi="Times New Roman"/>
          <w:sz w:val="24"/>
          <w:szCs w:val="24"/>
        </w:rPr>
        <w:t>ą organizacji zbiorowego zarządzania</w:t>
      </w:r>
      <w:r w:rsidR="00591C09" w:rsidRPr="00557CEF">
        <w:rPr>
          <w:rFonts w:ascii="Times New Roman" w:hAnsi="Times New Roman"/>
          <w:sz w:val="24"/>
          <w:szCs w:val="24"/>
        </w:rPr>
        <w:t xml:space="preserve"> na podstawie zawieranej co roku umowy i </w:t>
      </w:r>
      <w:r w:rsidR="00FD77E6" w:rsidRPr="00557CEF">
        <w:rPr>
          <w:rFonts w:ascii="Times New Roman" w:hAnsi="Times New Roman"/>
          <w:sz w:val="24"/>
          <w:szCs w:val="24"/>
        </w:rPr>
        <w:t>podlegają</w:t>
      </w:r>
      <w:r w:rsidR="00591C09" w:rsidRPr="00557CEF">
        <w:rPr>
          <w:rFonts w:ascii="Times New Roman" w:hAnsi="Times New Roman"/>
          <w:sz w:val="24"/>
          <w:szCs w:val="24"/>
        </w:rPr>
        <w:t xml:space="preserve"> – jako środki budżetowe </w:t>
      </w:r>
      <w:r w:rsidR="009406AB" w:rsidRPr="00557CEF">
        <w:rPr>
          <w:rFonts w:ascii="Times New Roman" w:hAnsi="Times New Roman"/>
          <w:sz w:val="24"/>
          <w:szCs w:val="24"/>
        </w:rPr>
        <w:t>–</w:t>
      </w:r>
      <w:r w:rsidR="00591C09" w:rsidRPr="00557CEF">
        <w:rPr>
          <w:rFonts w:ascii="Times New Roman" w:hAnsi="Times New Roman"/>
          <w:sz w:val="24"/>
          <w:szCs w:val="24"/>
        </w:rPr>
        <w:t xml:space="preserve"> wydatkowaniu oraz rozliczeniu w cyklach rocznych.</w:t>
      </w:r>
      <w:r w:rsidR="00BF132F" w:rsidRPr="00557CEF">
        <w:rPr>
          <w:rFonts w:ascii="Times New Roman" w:hAnsi="Times New Roman"/>
          <w:sz w:val="24"/>
          <w:szCs w:val="24"/>
        </w:rPr>
        <w:t xml:space="preserve"> </w:t>
      </w:r>
      <w:r w:rsidR="00894858" w:rsidRPr="00557CEF">
        <w:rPr>
          <w:rFonts w:ascii="Times New Roman" w:hAnsi="Times New Roman"/>
          <w:sz w:val="24"/>
          <w:szCs w:val="24"/>
        </w:rPr>
        <w:t xml:space="preserve">Jednakże do wynagrodzeń za użyczanie nie </w:t>
      </w:r>
      <w:r w:rsidR="00FD77E6" w:rsidRPr="00557CEF">
        <w:rPr>
          <w:rFonts w:ascii="Times New Roman" w:hAnsi="Times New Roman"/>
          <w:sz w:val="24"/>
          <w:szCs w:val="24"/>
        </w:rPr>
        <w:t>mają</w:t>
      </w:r>
      <w:r w:rsidR="00894858" w:rsidRPr="00557CEF">
        <w:rPr>
          <w:rFonts w:ascii="Times New Roman" w:hAnsi="Times New Roman"/>
          <w:sz w:val="24"/>
          <w:szCs w:val="24"/>
        </w:rPr>
        <w:t xml:space="preserve"> zastosowania przepisy wydane na podstawie art. 87 ust. 7 ustawy </w:t>
      </w:r>
      <w:r w:rsidR="002C24FC" w:rsidRPr="00557CEF">
        <w:rPr>
          <w:rFonts w:ascii="Times New Roman" w:hAnsi="Times New Roman"/>
          <w:sz w:val="24"/>
          <w:szCs w:val="24"/>
        </w:rPr>
        <w:t xml:space="preserve">z dnia 19 listopada 2009 r. </w:t>
      </w:r>
      <w:r w:rsidR="00894858" w:rsidRPr="00557CEF">
        <w:rPr>
          <w:rFonts w:ascii="Times New Roman" w:hAnsi="Times New Roman"/>
          <w:sz w:val="24"/>
          <w:szCs w:val="24"/>
        </w:rPr>
        <w:t>o</w:t>
      </w:r>
      <w:r w:rsidR="00A66DB7" w:rsidRPr="00557CEF">
        <w:rPr>
          <w:rFonts w:ascii="Times New Roman" w:hAnsi="Times New Roman"/>
          <w:sz w:val="24"/>
          <w:szCs w:val="24"/>
        </w:rPr>
        <w:t> </w:t>
      </w:r>
      <w:r w:rsidR="00894858" w:rsidRPr="00557CEF">
        <w:rPr>
          <w:rFonts w:ascii="Times New Roman" w:hAnsi="Times New Roman"/>
          <w:sz w:val="24"/>
          <w:szCs w:val="24"/>
        </w:rPr>
        <w:t>grach hazardowych.</w:t>
      </w:r>
      <w:r w:rsidR="00003454" w:rsidRPr="00557CEF">
        <w:rPr>
          <w:rFonts w:ascii="Times New Roman" w:hAnsi="Times New Roman"/>
          <w:sz w:val="24"/>
          <w:szCs w:val="24"/>
        </w:rPr>
        <w:t xml:space="preserve"> </w:t>
      </w:r>
      <w:r w:rsidRPr="00557CEF">
        <w:rPr>
          <w:rFonts w:ascii="Times New Roman" w:hAnsi="Times New Roman"/>
          <w:sz w:val="24"/>
          <w:szCs w:val="24"/>
        </w:rPr>
        <w:t xml:space="preserve">Środki przeznaczone na wypłatę wynagrodzeń </w:t>
      </w:r>
      <w:r w:rsidR="00BE50BE" w:rsidRPr="00557CEF">
        <w:rPr>
          <w:rFonts w:ascii="Times New Roman" w:hAnsi="Times New Roman"/>
          <w:sz w:val="24"/>
          <w:szCs w:val="24"/>
        </w:rPr>
        <w:t>są</w:t>
      </w:r>
      <w:r w:rsidRPr="00557CEF">
        <w:rPr>
          <w:rFonts w:ascii="Times New Roman" w:hAnsi="Times New Roman"/>
          <w:sz w:val="24"/>
          <w:szCs w:val="24"/>
        </w:rPr>
        <w:t xml:space="preserve"> przekazywane organizacji zbiorowego zarządzania</w:t>
      </w:r>
      <w:r w:rsidR="0080327E" w:rsidRPr="00557CEF">
        <w:rPr>
          <w:rFonts w:ascii="Times New Roman" w:hAnsi="Times New Roman"/>
          <w:sz w:val="24"/>
          <w:szCs w:val="24"/>
        </w:rPr>
        <w:t xml:space="preserve"> prawami autorskimi</w:t>
      </w:r>
      <w:r w:rsidRPr="00557CEF">
        <w:rPr>
          <w:rFonts w:ascii="Times New Roman" w:hAnsi="Times New Roman"/>
          <w:sz w:val="24"/>
          <w:szCs w:val="24"/>
        </w:rPr>
        <w:t xml:space="preserve"> na podstawie umowy zawieranej między ministrem właściwym do spraw kultury i ochrony dziedzictwa narodowego a </w:t>
      </w:r>
      <w:r w:rsidR="00035604" w:rsidRPr="00557CEF">
        <w:rPr>
          <w:rFonts w:ascii="Times New Roman" w:hAnsi="Times New Roman"/>
          <w:sz w:val="24"/>
          <w:szCs w:val="24"/>
        </w:rPr>
        <w:t xml:space="preserve">tą </w:t>
      </w:r>
      <w:r w:rsidRPr="00557CEF">
        <w:rPr>
          <w:rFonts w:ascii="Times New Roman" w:hAnsi="Times New Roman"/>
          <w:sz w:val="24"/>
          <w:szCs w:val="24"/>
        </w:rPr>
        <w:t>organizacją zbiorowego zarządzania</w:t>
      </w:r>
      <w:r w:rsidR="0080327E" w:rsidRPr="00557CEF">
        <w:rPr>
          <w:rFonts w:ascii="Times New Roman" w:hAnsi="Times New Roman"/>
          <w:sz w:val="24"/>
          <w:szCs w:val="24"/>
        </w:rPr>
        <w:t xml:space="preserve"> prawami autorskimi</w:t>
      </w:r>
      <w:r w:rsidR="00003454" w:rsidRPr="00557CEF">
        <w:rPr>
          <w:rFonts w:ascii="Times New Roman" w:hAnsi="Times New Roman"/>
          <w:sz w:val="24"/>
          <w:szCs w:val="24"/>
        </w:rPr>
        <w:t xml:space="preserve"> (obecnie</w:t>
      </w:r>
      <w:r w:rsidR="00992459" w:rsidRPr="00557CEF">
        <w:rPr>
          <w:rFonts w:ascii="Times New Roman" w:hAnsi="Times New Roman"/>
          <w:sz w:val="24"/>
          <w:szCs w:val="24"/>
        </w:rPr>
        <w:t xml:space="preserve"> jest to</w:t>
      </w:r>
      <w:r w:rsidR="00003454" w:rsidRPr="00557CEF">
        <w:rPr>
          <w:rFonts w:ascii="Times New Roman" w:hAnsi="Times New Roman"/>
          <w:sz w:val="24"/>
          <w:szCs w:val="24"/>
        </w:rPr>
        <w:t xml:space="preserve"> Stowarzyszenie Autorów i Wydawców Copyright Polska)</w:t>
      </w:r>
      <w:r w:rsidRPr="00557CEF">
        <w:rPr>
          <w:rFonts w:ascii="Times New Roman" w:hAnsi="Times New Roman"/>
          <w:sz w:val="24"/>
          <w:szCs w:val="24"/>
        </w:rPr>
        <w:t>.</w:t>
      </w:r>
    </w:p>
    <w:p w14:paraId="0145FA5A" w14:textId="77777777" w:rsidR="00036947" w:rsidRPr="00557CEF" w:rsidRDefault="00036947" w:rsidP="0056465F">
      <w:pPr>
        <w:spacing w:before="120" w:after="0" w:line="360" w:lineRule="auto"/>
        <w:jc w:val="both"/>
        <w:rPr>
          <w:rFonts w:ascii="Times New Roman" w:hAnsi="Times New Roman"/>
          <w:sz w:val="24"/>
          <w:szCs w:val="24"/>
        </w:rPr>
      </w:pPr>
    </w:p>
    <w:p w14:paraId="5C942A76" w14:textId="7055151E" w:rsidR="001E62EF" w:rsidRPr="00557CEF" w:rsidRDefault="001E62EF" w:rsidP="0056465F">
      <w:pPr>
        <w:spacing w:before="120" w:after="0" w:line="360" w:lineRule="auto"/>
        <w:jc w:val="both"/>
        <w:rPr>
          <w:rFonts w:ascii="Times New Roman" w:hAnsi="Times New Roman"/>
          <w:spacing w:val="-2"/>
          <w:sz w:val="24"/>
          <w:szCs w:val="24"/>
        </w:rPr>
      </w:pPr>
      <w:r w:rsidRPr="00557CEF">
        <w:rPr>
          <w:rFonts w:ascii="Times New Roman" w:hAnsi="Times New Roman"/>
          <w:spacing w:val="-2"/>
          <w:sz w:val="24"/>
          <w:szCs w:val="24"/>
        </w:rPr>
        <w:t xml:space="preserve">Wydatki na wykonanie zadań wynikających z </w:t>
      </w:r>
      <w:r w:rsidR="002258F5" w:rsidRPr="00557CEF">
        <w:rPr>
          <w:rFonts w:ascii="Times New Roman" w:hAnsi="Times New Roman"/>
          <w:spacing w:val="-2"/>
          <w:sz w:val="24"/>
          <w:szCs w:val="24"/>
        </w:rPr>
        <w:t xml:space="preserve">projektu </w:t>
      </w:r>
      <w:r w:rsidRPr="00557CEF">
        <w:rPr>
          <w:rFonts w:ascii="Times New Roman" w:hAnsi="Times New Roman"/>
          <w:spacing w:val="-2"/>
          <w:sz w:val="24"/>
          <w:szCs w:val="24"/>
        </w:rPr>
        <w:t xml:space="preserve">ustawy będą </w:t>
      </w:r>
      <w:r w:rsidR="00F66418" w:rsidRPr="00557CEF">
        <w:rPr>
          <w:rFonts w:ascii="Times New Roman" w:hAnsi="Times New Roman"/>
          <w:spacing w:val="-2"/>
          <w:sz w:val="24"/>
          <w:szCs w:val="24"/>
        </w:rPr>
        <w:t xml:space="preserve">w dalszym ciągu </w:t>
      </w:r>
      <w:r w:rsidRPr="00557CEF">
        <w:rPr>
          <w:rFonts w:ascii="Times New Roman" w:hAnsi="Times New Roman"/>
          <w:spacing w:val="-2"/>
          <w:sz w:val="24"/>
          <w:szCs w:val="24"/>
        </w:rPr>
        <w:t>finansowane ze środków Funduszu Promocji Kultury, o którym mowa w art. 87 ustawy z dnia 19</w:t>
      </w:r>
      <w:r w:rsidR="008A1377" w:rsidRPr="00557CEF">
        <w:rPr>
          <w:rFonts w:ascii="Times New Roman" w:hAnsi="Times New Roman"/>
          <w:spacing w:val="-2"/>
          <w:sz w:val="24"/>
          <w:szCs w:val="24"/>
        </w:rPr>
        <w:t> </w:t>
      </w:r>
      <w:r w:rsidRPr="00557CEF">
        <w:rPr>
          <w:rFonts w:ascii="Times New Roman" w:hAnsi="Times New Roman"/>
          <w:spacing w:val="-2"/>
          <w:sz w:val="24"/>
          <w:szCs w:val="24"/>
        </w:rPr>
        <w:t>listopada 2009</w:t>
      </w:r>
      <w:r w:rsidR="00B5658F" w:rsidRPr="00557CEF">
        <w:rPr>
          <w:rFonts w:ascii="Times New Roman" w:hAnsi="Times New Roman"/>
          <w:spacing w:val="-2"/>
          <w:sz w:val="24"/>
          <w:szCs w:val="24"/>
        </w:rPr>
        <w:t> </w:t>
      </w:r>
      <w:r w:rsidRPr="00557CEF">
        <w:rPr>
          <w:rFonts w:ascii="Times New Roman" w:hAnsi="Times New Roman"/>
          <w:spacing w:val="-2"/>
          <w:sz w:val="24"/>
          <w:szCs w:val="24"/>
        </w:rPr>
        <w:t>r. o grach hazardowych.</w:t>
      </w:r>
    </w:p>
    <w:p w14:paraId="6A52AA8E" w14:textId="197C94FB" w:rsidR="001E62EF" w:rsidRPr="00557CEF" w:rsidRDefault="001E62EF" w:rsidP="0056465F">
      <w:pPr>
        <w:spacing w:before="120" w:after="0" w:line="360" w:lineRule="auto"/>
        <w:jc w:val="both"/>
        <w:rPr>
          <w:rFonts w:ascii="Times New Roman" w:hAnsi="Times New Roman"/>
          <w:color w:val="000000"/>
          <w:sz w:val="24"/>
          <w:szCs w:val="24"/>
        </w:rPr>
      </w:pPr>
      <w:r w:rsidRPr="00557CEF">
        <w:rPr>
          <w:rFonts w:ascii="Times New Roman" w:hAnsi="Times New Roman"/>
          <w:color w:val="000000"/>
          <w:sz w:val="24"/>
          <w:szCs w:val="24"/>
        </w:rPr>
        <w:lastRenderedPageBreak/>
        <w:t xml:space="preserve">Za bazę do obliczenia globalnej wartości dofinansowania na wynagrodzenia za użyczanie, wypłacanego z Funduszu Promocji Kultury, przyjmuje się wartość środków przeznaczonych na zakupy biblioteczne dokonane w roku kalendarzowym poprzedzającym rok wypłaty wynagrodzenia. </w:t>
      </w:r>
      <w:r w:rsidR="00E762CB" w:rsidRPr="00557CEF">
        <w:rPr>
          <w:rFonts w:ascii="Times New Roman" w:hAnsi="Times New Roman"/>
          <w:color w:val="000000"/>
          <w:sz w:val="24"/>
          <w:szCs w:val="24"/>
        </w:rPr>
        <w:t>Proponuje się</w:t>
      </w:r>
      <w:r w:rsidR="00757E9F" w:rsidRPr="00557CEF">
        <w:rPr>
          <w:rFonts w:ascii="Times New Roman" w:hAnsi="Times New Roman"/>
          <w:color w:val="000000"/>
          <w:sz w:val="24"/>
          <w:szCs w:val="24"/>
        </w:rPr>
        <w:t>,</w:t>
      </w:r>
      <w:r w:rsidR="00E762CB" w:rsidRPr="00557CEF">
        <w:rPr>
          <w:rFonts w:ascii="Times New Roman" w:hAnsi="Times New Roman"/>
          <w:color w:val="000000"/>
          <w:sz w:val="24"/>
          <w:szCs w:val="24"/>
        </w:rPr>
        <w:t xml:space="preserve"> aby d</w:t>
      </w:r>
      <w:r w:rsidRPr="00557CEF">
        <w:rPr>
          <w:rFonts w:ascii="Times New Roman" w:hAnsi="Times New Roman"/>
          <w:color w:val="000000"/>
          <w:sz w:val="24"/>
          <w:szCs w:val="24"/>
        </w:rPr>
        <w:t xml:space="preserve">ofinansowanie </w:t>
      </w:r>
      <w:r w:rsidR="00E762CB" w:rsidRPr="00557CEF">
        <w:rPr>
          <w:rFonts w:ascii="Times New Roman" w:hAnsi="Times New Roman"/>
          <w:color w:val="000000"/>
          <w:sz w:val="24"/>
          <w:szCs w:val="24"/>
        </w:rPr>
        <w:t xml:space="preserve">wynosiło </w:t>
      </w:r>
      <w:r w:rsidRPr="00557CEF">
        <w:rPr>
          <w:rFonts w:ascii="Times New Roman" w:hAnsi="Times New Roman"/>
          <w:color w:val="000000"/>
          <w:sz w:val="24"/>
          <w:szCs w:val="24"/>
        </w:rPr>
        <w:t>10</w:t>
      </w:r>
      <w:r w:rsidR="00B6778B">
        <w:rPr>
          <w:rFonts w:ascii="Times New Roman" w:hAnsi="Times New Roman"/>
          <w:color w:val="000000"/>
          <w:sz w:val="24"/>
          <w:szCs w:val="24"/>
        </w:rPr>
        <w:t xml:space="preserve"> </w:t>
      </w:r>
      <w:r w:rsidRPr="00557CEF">
        <w:rPr>
          <w:rFonts w:ascii="Times New Roman" w:hAnsi="Times New Roman"/>
          <w:color w:val="000000"/>
          <w:sz w:val="24"/>
          <w:szCs w:val="24"/>
        </w:rPr>
        <w:t xml:space="preserve">% wartości zakupów bibliotecznych. </w:t>
      </w:r>
    </w:p>
    <w:p w14:paraId="00660B71" w14:textId="0DACD23F" w:rsidR="001E62EF" w:rsidRPr="00557CEF" w:rsidRDefault="001E62EF" w:rsidP="0056465F">
      <w:pPr>
        <w:spacing w:before="120" w:after="0" w:line="360" w:lineRule="auto"/>
        <w:jc w:val="both"/>
        <w:rPr>
          <w:rFonts w:ascii="Times New Roman" w:hAnsi="Times New Roman"/>
          <w:color w:val="000000"/>
          <w:sz w:val="24"/>
          <w:szCs w:val="24"/>
        </w:rPr>
      </w:pPr>
      <w:r w:rsidRPr="00557CEF">
        <w:rPr>
          <w:rFonts w:ascii="Times New Roman" w:hAnsi="Times New Roman"/>
          <w:color w:val="000000"/>
          <w:sz w:val="24"/>
          <w:szCs w:val="24"/>
        </w:rPr>
        <w:t xml:space="preserve">Za wartość bazową dla oszacowania skutków finansowych projektowanych przepisów przyjęto </w:t>
      </w:r>
      <w:r w:rsidR="00767079" w:rsidRPr="00557CEF">
        <w:rPr>
          <w:rFonts w:ascii="Times New Roman" w:hAnsi="Times New Roman"/>
          <w:color w:val="000000"/>
          <w:sz w:val="24"/>
          <w:szCs w:val="24"/>
        </w:rPr>
        <w:t xml:space="preserve">uśrednioną </w:t>
      </w:r>
      <w:r w:rsidRPr="00557CEF">
        <w:rPr>
          <w:rFonts w:ascii="Times New Roman" w:hAnsi="Times New Roman"/>
          <w:color w:val="000000"/>
          <w:sz w:val="24"/>
          <w:szCs w:val="24"/>
        </w:rPr>
        <w:t xml:space="preserve">wartość zakupów, jakie były realizowane przez biblioteki publiczne w latach </w:t>
      </w:r>
      <w:r w:rsidR="00B6778B">
        <w:rPr>
          <w:rFonts w:ascii="Times New Roman" w:hAnsi="Times New Roman"/>
          <w:color w:val="000000"/>
          <w:sz w:val="24"/>
          <w:szCs w:val="24"/>
        </w:rPr>
        <w:br/>
      </w:r>
      <w:r w:rsidRPr="00557CEF">
        <w:rPr>
          <w:rFonts w:ascii="Times New Roman" w:hAnsi="Times New Roman"/>
          <w:color w:val="000000"/>
          <w:sz w:val="24"/>
          <w:szCs w:val="24"/>
        </w:rPr>
        <w:t>2022</w:t>
      </w:r>
      <w:r w:rsidR="00036947" w:rsidRPr="00557CEF">
        <w:rPr>
          <w:rFonts w:ascii="Times New Roman" w:hAnsi="Times New Roman"/>
          <w:color w:val="000000"/>
          <w:sz w:val="24"/>
          <w:szCs w:val="24"/>
        </w:rPr>
        <w:t>–</w:t>
      </w:r>
      <w:r w:rsidRPr="00557CEF">
        <w:rPr>
          <w:rFonts w:ascii="Times New Roman" w:hAnsi="Times New Roman"/>
          <w:color w:val="000000"/>
          <w:sz w:val="24"/>
          <w:szCs w:val="24"/>
        </w:rPr>
        <w:t>2024 (na podstawie danych GUS).</w:t>
      </w:r>
    </w:p>
    <w:p w14:paraId="65D19935" w14:textId="77777777" w:rsidR="001E62EF" w:rsidRPr="00557CEF" w:rsidRDefault="001E62EF" w:rsidP="0056465F">
      <w:pPr>
        <w:spacing w:before="120" w:after="0" w:line="360" w:lineRule="auto"/>
        <w:jc w:val="both"/>
        <w:rPr>
          <w:rFonts w:ascii="Times New Roman" w:hAnsi="Times New Roman"/>
          <w:color w:val="000000"/>
          <w:sz w:val="24"/>
          <w:szCs w:val="24"/>
        </w:rPr>
      </w:pPr>
      <w:r w:rsidRPr="00557CEF">
        <w:rPr>
          <w:rFonts w:ascii="Times New Roman" w:hAnsi="Times New Roman"/>
          <w:color w:val="000000"/>
          <w:sz w:val="24"/>
          <w:szCs w:val="24"/>
        </w:rPr>
        <w:t xml:space="preserve">Wartość dofinansowania w kolejnych latach została obliczona jako wartość bazowa zaktualizowana o wskaźnik inflacji (CPI) określony w </w:t>
      </w:r>
      <w:r w:rsidRPr="00557CEF">
        <w:rPr>
          <w:rFonts w:ascii="Times New Roman" w:hAnsi="Times New Roman"/>
          <w:i/>
          <w:color w:val="000000"/>
          <w:sz w:val="24"/>
          <w:szCs w:val="24"/>
        </w:rPr>
        <w:t>Wytycznych Ministra Finansów dotyczących stosowania jednolitych wskaźników makroekonomicznych będących podstawą oszacowania skutków finansowych projektowanych ustaw z 18 lipca 2025 r.</w:t>
      </w:r>
      <w:r w:rsidRPr="00557CEF">
        <w:rPr>
          <w:rFonts w:ascii="Times New Roman" w:hAnsi="Times New Roman"/>
          <w:color w:val="000000"/>
          <w:sz w:val="24"/>
          <w:szCs w:val="24"/>
        </w:rPr>
        <w:t xml:space="preserve"> </w:t>
      </w:r>
    </w:p>
    <w:p w14:paraId="325A19D9" w14:textId="65811078" w:rsidR="00036947" w:rsidRPr="00557CEF" w:rsidRDefault="001E62EF" w:rsidP="0056465F">
      <w:pPr>
        <w:spacing w:before="120" w:after="0" w:line="360" w:lineRule="auto"/>
        <w:jc w:val="both"/>
        <w:rPr>
          <w:rFonts w:ascii="Times New Roman" w:hAnsi="Times New Roman"/>
          <w:color w:val="000000"/>
          <w:sz w:val="24"/>
          <w:szCs w:val="24"/>
        </w:rPr>
      </w:pPr>
      <w:r w:rsidRPr="00557CEF">
        <w:rPr>
          <w:rFonts w:ascii="Times New Roman" w:hAnsi="Times New Roman"/>
          <w:color w:val="000000"/>
          <w:sz w:val="24"/>
          <w:szCs w:val="24"/>
        </w:rPr>
        <w:t>Przy tak określonych założeniach wartość wynagrodzenia w poszczególnych latach kształtowałaby się następująco:</w:t>
      </w:r>
    </w:p>
    <w:p w14:paraId="388A87E6" w14:textId="77777777" w:rsidR="00521216" w:rsidRPr="0056465F" w:rsidRDefault="00521216" w:rsidP="0056465F">
      <w:pPr>
        <w:spacing w:before="120" w:after="0" w:line="360" w:lineRule="auto"/>
        <w:jc w:val="both"/>
        <w:rPr>
          <w:rFonts w:ascii="Times New Roman" w:hAnsi="Times New Roman"/>
          <w:color w:val="000000"/>
          <w:sz w:val="24"/>
          <w:szCs w:val="24"/>
        </w:rPr>
      </w:pPr>
    </w:p>
    <w:tbl>
      <w:tblPr>
        <w:tblpPr w:leftFromText="141" w:rightFromText="141" w:vertAnchor="text" w:horzAnchor="margin" w:tblpXSpec="center" w:tblpY="165"/>
        <w:tblOverlap w:val="neve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4"/>
        <w:gridCol w:w="552"/>
        <w:gridCol w:w="544"/>
        <w:gridCol w:w="560"/>
        <w:gridCol w:w="552"/>
        <w:gridCol w:w="552"/>
        <w:gridCol w:w="552"/>
        <w:gridCol w:w="552"/>
        <w:gridCol w:w="552"/>
        <w:gridCol w:w="552"/>
        <w:gridCol w:w="552"/>
        <w:gridCol w:w="552"/>
        <w:gridCol w:w="1114"/>
      </w:tblGrid>
      <w:tr w:rsidR="00036947" w:rsidRPr="00557CEF" w14:paraId="69F96877" w14:textId="77777777" w:rsidTr="00917412">
        <w:trPr>
          <w:trHeight w:val="210"/>
        </w:trPr>
        <w:tc>
          <w:tcPr>
            <w:tcW w:w="8500" w:type="dxa"/>
            <w:gridSpan w:val="13"/>
            <w:noWrap/>
          </w:tcPr>
          <w:p w14:paraId="459E6E47"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WARTOŚĆ ZAKUPÓW ZBIORÓW DO BIBLIOTEK PUBLICZNYCH ORAZ DOFINANSOWANIA NA WYPŁATĘ WYNAGRODZEŃ ZA UŻYCZENIA BIBLIOTECZNE W LATACH 2026-2035</w:t>
            </w:r>
          </w:p>
        </w:tc>
      </w:tr>
      <w:tr w:rsidR="00036947" w:rsidRPr="00557CEF" w14:paraId="75F14F5B" w14:textId="77777777" w:rsidTr="00917412">
        <w:trPr>
          <w:trHeight w:val="210"/>
        </w:trPr>
        <w:tc>
          <w:tcPr>
            <w:tcW w:w="8500" w:type="dxa"/>
            <w:gridSpan w:val="13"/>
            <w:noWrap/>
          </w:tcPr>
          <w:p w14:paraId="202992CC" w14:textId="77777777" w:rsidR="00036947" w:rsidRPr="0056465F" w:rsidRDefault="00036947" w:rsidP="0056465F">
            <w:pPr>
              <w:spacing w:before="120" w:after="0" w:line="360" w:lineRule="auto"/>
              <w:jc w:val="center"/>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w tys. zł</w:t>
            </w:r>
          </w:p>
        </w:tc>
      </w:tr>
      <w:tr w:rsidR="00036947" w:rsidRPr="00557CEF" w14:paraId="254098F0" w14:textId="77777777" w:rsidTr="00917412">
        <w:trPr>
          <w:trHeight w:val="210"/>
        </w:trPr>
        <w:tc>
          <w:tcPr>
            <w:tcW w:w="1314" w:type="dxa"/>
            <w:noWrap/>
            <w:hideMark/>
          </w:tcPr>
          <w:p w14:paraId="457E5F8D" w14:textId="01A268BC" w:rsidR="00036947" w:rsidRPr="0056465F" w:rsidRDefault="00672A9D" w:rsidP="0056465F">
            <w:pPr>
              <w:spacing w:before="120" w:after="0" w:line="360" w:lineRule="auto"/>
              <w:jc w:val="both"/>
              <w:rPr>
                <w:rFonts w:ascii="Times New Roman" w:eastAsia="Times New Roman" w:hAnsi="Times New Roman"/>
                <w:sz w:val="14"/>
                <w:szCs w:val="14"/>
                <w:lang w:eastAsia="pl-PL"/>
              </w:rPr>
            </w:pPr>
            <w:r w:rsidRPr="0056465F">
              <w:rPr>
                <w:rFonts w:ascii="Times New Roman" w:eastAsia="Times New Roman" w:hAnsi="Times New Roman"/>
                <w:sz w:val="14"/>
                <w:szCs w:val="14"/>
                <w:lang w:eastAsia="pl-PL"/>
              </w:rPr>
              <w:t>R</w:t>
            </w:r>
            <w:r w:rsidR="00036947" w:rsidRPr="0056465F">
              <w:rPr>
                <w:rFonts w:ascii="Times New Roman" w:eastAsia="Times New Roman" w:hAnsi="Times New Roman"/>
                <w:sz w:val="14"/>
                <w:szCs w:val="14"/>
                <w:lang w:eastAsia="pl-PL"/>
              </w:rPr>
              <w:t>ok</w:t>
            </w:r>
          </w:p>
        </w:tc>
        <w:tc>
          <w:tcPr>
            <w:tcW w:w="552" w:type="dxa"/>
          </w:tcPr>
          <w:p w14:paraId="1C248A0D" w14:textId="20B06E55"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2025</w:t>
            </w:r>
          </w:p>
        </w:tc>
        <w:tc>
          <w:tcPr>
            <w:tcW w:w="544" w:type="dxa"/>
            <w:noWrap/>
            <w:hideMark/>
          </w:tcPr>
          <w:p w14:paraId="40D0E8CB" w14:textId="0154573A"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2026</w:t>
            </w:r>
          </w:p>
        </w:tc>
        <w:tc>
          <w:tcPr>
            <w:tcW w:w="560" w:type="dxa"/>
            <w:noWrap/>
            <w:hideMark/>
          </w:tcPr>
          <w:p w14:paraId="297F85F2" w14:textId="3C1EDD40"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2027</w:t>
            </w:r>
          </w:p>
        </w:tc>
        <w:tc>
          <w:tcPr>
            <w:tcW w:w="552" w:type="dxa"/>
            <w:noWrap/>
            <w:hideMark/>
          </w:tcPr>
          <w:p w14:paraId="1C42525C" w14:textId="64010E74"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2028</w:t>
            </w:r>
          </w:p>
        </w:tc>
        <w:tc>
          <w:tcPr>
            <w:tcW w:w="552" w:type="dxa"/>
            <w:noWrap/>
            <w:hideMark/>
          </w:tcPr>
          <w:p w14:paraId="375E44CD" w14:textId="4E0F7EBE"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2029</w:t>
            </w:r>
          </w:p>
        </w:tc>
        <w:tc>
          <w:tcPr>
            <w:tcW w:w="552" w:type="dxa"/>
            <w:noWrap/>
            <w:hideMark/>
          </w:tcPr>
          <w:p w14:paraId="36823AD9" w14:textId="1617306E"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2030</w:t>
            </w:r>
          </w:p>
        </w:tc>
        <w:tc>
          <w:tcPr>
            <w:tcW w:w="552" w:type="dxa"/>
            <w:noWrap/>
            <w:hideMark/>
          </w:tcPr>
          <w:p w14:paraId="3D187086" w14:textId="1528594B"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2031</w:t>
            </w:r>
          </w:p>
        </w:tc>
        <w:tc>
          <w:tcPr>
            <w:tcW w:w="552" w:type="dxa"/>
            <w:noWrap/>
            <w:hideMark/>
          </w:tcPr>
          <w:p w14:paraId="6DA1886A" w14:textId="314A5E4A"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2032</w:t>
            </w:r>
          </w:p>
        </w:tc>
        <w:tc>
          <w:tcPr>
            <w:tcW w:w="552" w:type="dxa"/>
            <w:noWrap/>
            <w:hideMark/>
          </w:tcPr>
          <w:p w14:paraId="68FB2C23" w14:textId="65998631"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2033</w:t>
            </w:r>
          </w:p>
        </w:tc>
        <w:tc>
          <w:tcPr>
            <w:tcW w:w="552" w:type="dxa"/>
            <w:noWrap/>
            <w:hideMark/>
          </w:tcPr>
          <w:p w14:paraId="06D92EA2" w14:textId="099BDED0"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2034</w:t>
            </w:r>
          </w:p>
        </w:tc>
        <w:tc>
          <w:tcPr>
            <w:tcW w:w="552" w:type="dxa"/>
            <w:noWrap/>
            <w:hideMark/>
          </w:tcPr>
          <w:p w14:paraId="54DEB040" w14:textId="14740DA6"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2035</w:t>
            </w:r>
          </w:p>
        </w:tc>
        <w:tc>
          <w:tcPr>
            <w:tcW w:w="1114" w:type="dxa"/>
          </w:tcPr>
          <w:p w14:paraId="7E1C7850"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56465F">
              <w:rPr>
                <w:rFonts w:ascii="Times New Roman" w:eastAsia="Times New Roman" w:hAnsi="Times New Roman"/>
                <w:b/>
                <w:color w:val="000000"/>
                <w:sz w:val="14"/>
                <w:szCs w:val="14"/>
                <w:lang w:eastAsia="pl-PL"/>
              </w:rPr>
              <w:t>Razem 2026-2035</w:t>
            </w:r>
          </w:p>
        </w:tc>
      </w:tr>
      <w:tr w:rsidR="00036947" w:rsidRPr="00557CEF" w14:paraId="30343658" w14:textId="77777777" w:rsidTr="00917412">
        <w:trPr>
          <w:trHeight w:val="210"/>
        </w:trPr>
        <w:tc>
          <w:tcPr>
            <w:tcW w:w="1314" w:type="dxa"/>
            <w:noWrap/>
            <w:hideMark/>
          </w:tcPr>
          <w:p w14:paraId="3A37FD0A"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56465F">
              <w:rPr>
                <w:rFonts w:ascii="Times New Roman" w:eastAsia="Times New Roman" w:hAnsi="Times New Roman"/>
                <w:color w:val="000000"/>
                <w:sz w:val="14"/>
                <w:szCs w:val="14"/>
                <w:lang w:eastAsia="pl-PL"/>
              </w:rPr>
              <w:t>prognozowana wartość zakupów bibliotecznych</w:t>
            </w:r>
          </w:p>
        </w:tc>
        <w:tc>
          <w:tcPr>
            <w:tcW w:w="552" w:type="dxa"/>
            <w:tcBorders>
              <w:top w:val="single" w:sz="4" w:space="0" w:color="auto"/>
              <w:left w:val="single" w:sz="4" w:space="0" w:color="auto"/>
              <w:bottom w:val="single" w:sz="4" w:space="0" w:color="auto"/>
              <w:right w:val="single" w:sz="4" w:space="0" w:color="auto"/>
            </w:tcBorders>
            <w:vAlign w:val="bottom"/>
          </w:tcPr>
          <w:p w14:paraId="10F337E9"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107 727</w:t>
            </w:r>
          </w:p>
        </w:tc>
        <w:tc>
          <w:tcPr>
            <w:tcW w:w="544" w:type="dxa"/>
            <w:tcBorders>
              <w:top w:val="single" w:sz="4" w:space="0" w:color="auto"/>
              <w:left w:val="single" w:sz="4" w:space="0" w:color="auto"/>
              <w:bottom w:val="single" w:sz="4" w:space="0" w:color="auto"/>
              <w:right w:val="single" w:sz="4" w:space="0" w:color="auto"/>
            </w:tcBorders>
            <w:noWrap/>
            <w:vAlign w:val="bottom"/>
          </w:tcPr>
          <w:p w14:paraId="5DB49FDD"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110 959</w:t>
            </w:r>
          </w:p>
        </w:tc>
        <w:tc>
          <w:tcPr>
            <w:tcW w:w="560" w:type="dxa"/>
            <w:tcBorders>
              <w:top w:val="single" w:sz="4" w:space="0" w:color="auto"/>
              <w:left w:val="single" w:sz="4" w:space="0" w:color="auto"/>
              <w:bottom w:val="single" w:sz="4" w:space="0" w:color="auto"/>
              <w:right w:val="single" w:sz="4" w:space="0" w:color="auto"/>
            </w:tcBorders>
            <w:noWrap/>
            <w:vAlign w:val="bottom"/>
          </w:tcPr>
          <w:p w14:paraId="7565C04B"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113 844</w:t>
            </w:r>
          </w:p>
        </w:tc>
        <w:tc>
          <w:tcPr>
            <w:tcW w:w="552" w:type="dxa"/>
            <w:tcBorders>
              <w:top w:val="single" w:sz="4" w:space="0" w:color="auto"/>
              <w:left w:val="single" w:sz="4" w:space="0" w:color="auto"/>
              <w:bottom w:val="single" w:sz="4" w:space="0" w:color="auto"/>
              <w:right w:val="single" w:sz="4" w:space="0" w:color="auto"/>
            </w:tcBorders>
            <w:noWrap/>
            <w:vAlign w:val="bottom"/>
          </w:tcPr>
          <w:p w14:paraId="5B8EE35F"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116 690</w:t>
            </w:r>
          </w:p>
        </w:tc>
        <w:tc>
          <w:tcPr>
            <w:tcW w:w="552" w:type="dxa"/>
            <w:tcBorders>
              <w:top w:val="single" w:sz="4" w:space="0" w:color="auto"/>
              <w:left w:val="single" w:sz="4" w:space="0" w:color="auto"/>
              <w:bottom w:val="single" w:sz="4" w:space="0" w:color="auto"/>
              <w:right w:val="single" w:sz="4" w:space="0" w:color="auto"/>
            </w:tcBorders>
            <w:noWrap/>
            <w:vAlign w:val="bottom"/>
          </w:tcPr>
          <w:p w14:paraId="13B5A388"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119 491</w:t>
            </w:r>
          </w:p>
        </w:tc>
        <w:tc>
          <w:tcPr>
            <w:tcW w:w="552" w:type="dxa"/>
            <w:tcBorders>
              <w:top w:val="single" w:sz="4" w:space="0" w:color="auto"/>
              <w:left w:val="single" w:sz="4" w:space="0" w:color="auto"/>
              <w:bottom w:val="single" w:sz="4" w:space="0" w:color="auto"/>
              <w:right w:val="single" w:sz="4" w:space="0" w:color="auto"/>
            </w:tcBorders>
            <w:noWrap/>
            <w:vAlign w:val="bottom"/>
          </w:tcPr>
          <w:p w14:paraId="3A4F6116"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122 478</w:t>
            </w:r>
          </w:p>
        </w:tc>
        <w:tc>
          <w:tcPr>
            <w:tcW w:w="552" w:type="dxa"/>
            <w:tcBorders>
              <w:top w:val="single" w:sz="4" w:space="0" w:color="auto"/>
              <w:left w:val="single" w:sz="4" w:space="0" w:color="auto"/>
              <w:bottom w:val="single" w:sz="4" w:space="0" w:color="auto"/>
              <w:right w:val="single" w:sz="4" w:space="0" w:color="auto"/>
            </w:tcBorders>
            <w:noWrap/>
            <w:vAlign w:val="bottom"/>
          </w:tcPr>
          <w:p w14:paraId="124C6A2D"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125 540</w:t>
            </w:r>
          </w:p>
        </w:tc>
        <w:tc>
          <w:tcPr>
            <w:tcW w:w="552" w:type="dxa"/>
            <w:tcBorders>
              <w:top w:val="single" w:sz="4" w:space="0" w:color="auto"/>
              <w:left w:val="single" w:sz="4" w:space="0" w:color="auto"/>
              <w:bottom w:val="single" w:sz="4" w:space="0" w:color="auto"/>
              <w:right w:val="single" w:sz="4" w:space="0" w:color="auto"/>
            </w:tcBorders>
            <w:noWrap/>
            <w:vAlign w:val="bottom"/>
          </w:tcPr>
          <w:p w14:paraId="18920A61"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128 679</w:t>
            </w:r>
          </w:p>
        </w:tc>
        <w:tc>
          <w:tcPr>
            <w:tcW w:w="552" w:type="dxa"/>
            <w:tcBorders>
              <w:top w:val="single" w:sz="4" w:space="0" w:color="auto"/>
              <w:left w:val="single" w:sz="4" w:space="0" w:color="auto"/>
              <w:bottom w:val="single" w:sz="4" w:space="0" w:color="auto"/>
              <w:right w:val="single" w:sz="4" w:space="0" w:color="auto"/>
            </w:tcBorders>
            <w:noWrap/>
            <w:vAlign w:val="bottom"/>
          </w:tcPr>
          <w:p w14:paraId="35A4F066"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131 896</w:t>
            </w:r>
          </w:p>
        </w:tc>
        <w:tc>
          <w:tcPr>
            <w:tcW w:w="552" w:type="dxa"/>
            <w:tcBorders>
              <w:top w:val="single" w:sz="4" w:space="0" w:color="auto"/>
              <w:left w:val="single" w:sz="4" w:space="0" w:color="auto"/>
              <w:bottom w:val="single" w:sz="4" w:space="0" w:color="auto"/>
              <w:right w:val="single" w:sz="4" w:space="0" w:color="auto"/>
            </w:tcBorders>
            <w:noWrap/>
            <w:vAlign w:val="bottom"/>
          </w:tcPr>
          <w:p w14:paraId="13A745A2"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135 193</w:t>
            </w:r>
          </w:p>
        </w:tc>
        <w:tc>
          <w:tcPr>
            <w:tcW w:w="552" w:type="dxa"/>
            <w:tcBorders>
              <w:top w:val="single" w:sz="4" w:space="0" w:color="auto"/>
              <w:left w:val="single" w:sz="4" w:space="0" w:color="auto"/>
              <w:bottom w:val="single" w:sz="4" w:space="0" w:color="auto"/>
              <w:right w:val="single" w:sz="4" w:space="0" w:color="auto"/>
            </w:tcBorders>
            <w:noWrap/>
            <w:vAlign w:val="bottom"/>
          </w:tcPr>
          <w:p w14:paraId="132723C2" w14:textId="77777777"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207D36">
              <w:rPr>
                <w:rFonts w:ascii="Times New Roman" w:hAnsi="Times New Roman"/>
                <w:color w:val="000000"/>
                <w:sz w:val="14"/>
                <w:szCs w:val="14"/>
              </w:rPr>
              <w:t>138 573</w:t>
            </w:r>
          </w:p>
        </w:tc>
        <w:tc>
          <w:tcPr>
            <w:tcW w:w="1114" w:type="dxa"/>
          </w:tcPr>
          <w:p w14:paraId="5F937D07" w14:textId="77777777" w:rsidR="00036947" w:rsidRPr="00207D36" w:rsidRDefault="00036947" w:rsidP="0056465F">
            <w:pPr>
              <w:spacing w:before="120" w:after="0" w:line="360" w:lineRule="auto"/>
              <w:jc w:val="both"/>
              <w:rPr>
                <w:rFonts w:ascii="Times New Roman" w:hAnsi="Times New Roman"/>
                <w:color w:val="000000"/>
                <w:sz w:val="14"/>
                <w:szCs w:val="14"/>
                <w:lang w:eastAsia="pl-PL"/>
              </w:rPr>
            </w:pPr>
            <w:r w:rsidRPr="00207D36">
              <w:rPr>
                <w:rFonts w:ascii="Times New Roman" w:hAnsi="Times New Roman"/>
                <w:color w:val="000000"/>
                <w:sz w:val="14"/>
                <w:szCs w:val="14"/>
              </w:rPr>
              <w:t>1 243 343</w:t>
            </w:r>
          </w:p>
          <w:p w14:paraId="38304E2F" w14:textId="77777777" w:rsidR="00036947" w:rsidRPr="0056465F" w:rsidRDefault="00036947" w:rsidP="0056465F">
            <w:pPr>
              <w:spacing w:before="120" w:after="0" w:line="360" w:lineRule="auto"/>
              <w:jc w:val="both"/>
              <w:rPr>
                <w:rFonts w:ascii="Times New Roman" w:hAnsi="Times New Roman"/>
                <w:b/>
                <w:color w:val="000000"/>
                <w:sz w:val="14"/>
                <w:szCs w:val="14"/>
              </w:rPr>
            </w:pPr>
          </w:p>
        </w:tc>
      </w:tr>
      <w:tr w:rsidR="00036947" w:rsidRPr="00557CEF" w14:paraId="575BE85D" w14:textId="77777777" w:rsidTr="00917412">
        <w:trPr>
          <w:trHeight w:val="210"/>
        </w:trPr>
        <w:tc>
          <w:tcPr>
            <w:tcW w:w="1314" w:type="dxa"/>
            <w:noWrap/>
            <w:hideMark/>
          </w:tcPr>
          <w:p w14:paraId="5E159C91" w14:textId="7FCDB2BF" w:rsidR="00036947" w:rsidRPr="0056465F" w:rsidRDefault="00036947" w:rsidP="0056465F">
            <w:pPr>
              <w:spacing w:before="120" w:after="0" w:line="360" w:lineRule="auto"/>
              <w:jc w:val="both"/>
              <w:rPr>
                <w:rFonts w:ascii="Times New Roman" w:eastAsia="Times New Roman" w:hAnsi="Times New Roman"/>
                <w:color w:val="000000"/>
                <w:sz w:val="14"/>
                <w:szCs w:val="14"/>
                <w:lang w:eastAsia="pl-PL"/>
              </w:rPr>
            </w:pPr>
            <w:r w:rsidRPr="0056465F">
              <w:rPr>
                <w:rFonts w:ascii="Times New Roman" w:eastAsia="Times New Roman" w:hAnsi="Times New Roman"/>
                <w:color w:val="000000"/>
                <w:sz w:val="14"/>
                <w:szCs w:val="14"/>
                <w:lang w:eastAsia="pl-PL"/>
              </w:rPr>
              <w:t xml:space="preserve">wartość środków na wypłatę rekompensat z tytułu </w:t>
            </w:r>
            <w:r w:rsidR="00A466DF" w:rsidRPr="0056465F">
              <w:rPr>
                <w:rFonts w:ascii="Times New Roman" w:eastAsia="Times New Roman" w:hAnsi="Times New Roman"/>
                <w:i/>
                <w:color w:val="000000"/>
                <w:sz w:val="14"/>
                <w:szCs w:val="14"/>
                <w:lang w:eastAsia="pl-PL"/>
              </w:rPr>
              <w:t>P</w:t>
            </w:r>
            <w:r w:rsidRPr="0056465F">
              <w:rPr>
                <w:rFonts w:ascii="Times New Roman" w:eastAsia="Times New Roman" w:hAnsi="Times New Roman"/>
                <w:i/>
                <w:color w:val="000000"/>
                <w:sz w:val="14"/>
                <w:szCs w:val="14"/>
                <w:lang w:eastAsia="pl-PL"/>
              </w:rPr>
              <w:t xml:space="preserve">ublic </w:t>
            </w:r>
            <w:r w:rsidR="00A466DF" w:rsidRPr="0056465F">
              <w:rPr>
                <w:rFonts w:ascii="Times New Roman" w:eastAsia="Times New Roman" w:hAnsi="Times New Roman"/>
                <w:i/>
                <w:color w:val="000000"/>
                <w:sz w:val="14"/>
                <w:szCs w:val="14"/>
                <w:lang w:eastAsia="pl-PL"/>
              </w:rPr>
              <w:t>L</w:t>
            </w:r>
            <w:r w:rsidRPr="0056465F">
              <w:rPr>
                <w:rFonts w:ascii="Times New Roman" w:eastAsia="Times New Roman" w:hAnsi="Times New Roman"/>
                <w:i/>
                <w:color w:val="000000"/>
                <w:sz w:val="14"/>
                <w:szCs w:val="14"/>
                <w:lang w:eastAsia="pl-PL"/>
              </w:rPr>
              <w:t xml:space="preserve">ending </w:t>
            </w:r>
            <w:r w:rsidR="00A466DF" w:rsidRPr="0056465F">
              <w:rPr>
                <w:rFonts w:ascii="Times New Roman" w:eastAsia="Times New Roman" w:hAnsi="Times New Roman"/>
                <w:i/>
                <w:color w:val="000000"/>
                <w:sz w:val="14"/>
                <w:szCs w:val="14"/>
                <w:lang w:eastAsia="pl-PL"/>
              </w:rPr>
              <w:t>R</w:t>
            </w:r>
            <w:r w:rsidRPr="0056465F">
              <w:rPr>
                <w:rFonts w:ascii="Times New Roman" w:eastAsia="Times New Roman" w:hAnsi="Times New Roman"/>
                <w:i/>
                <w:color w:val="000000"/>
                <w:sz w:val="14"/>
                <w:szCs w:val="14"/>
                <w:lang w:eastAsia="pl-PL"/>
              </w:rPr>
              <w:t>ight</w:t>
            </w:r>
            <w:r w:rsidRPr="0056465F">
              <w:rPr>
                <w:rFonts w:ascii="Times New Roman" w:eastAsia="Times New Roman" w:hAnsi="Times New Roman"/>
                <w:color w:val="000000"/>
                <w:sz w:val="14"/>
                <w:szCs w:val="14"/>
                <w:lang w:eastAsia="pl-PL"/>
              </w:rPr>
              <w:t xml:space="preserve"> (% wartości zakupów bibliotecznych na podstawie danych roku poprzedniego)</w:t>
            </w:r>
          </w:p>
        </w:tc>
        <w:tc>
          <w:tcPr>
            <w:tcW w:w="552" w:type="dxa"/>
            <w:tcBorders>
              <w:top w:val="single" w:sz="4" w:space="0" w:color="auto"/>
              <w:left w:val="single" w:sz="4" w:space="0" w:color="auto"/>
              <w:bottom w:val="single" w:sz="4" w:space="0" w:color="auto"/>
              <w:right w:val="single" w:sz="4" w:space="0" w:color="auto"/>
            </w:tcBorders>
            <w:vAlign w:val="bottom"/>
          </w:tcPr>
          <w:p w14:paraId="7E245544"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10 773</w:t>
            </w:r>
          </w:p>
        </w:tc>
        <w:tc>
          <w:tcPr>
            <w:tcW w:w="544" w:type="dxa"/>
            <w:tcBorders>
              <w:top w:val="single" w:sz="4" w:space="0" w:color="auto"/>
              <w:left w:val="single" w:sz="4" w:space="0" w:color="auto"/>
              <w:bottom w:val="single" w:sz="4" w:space="0" w:color="auto"/>
              <w:right w:val="single" w:sz="4" w:space="0" w:color="auto"/>
            </w:tcBorders>
            <w:noWrap/>
            <w:vAlign w:val="bottom"/>
          </w:tcPr>
          <w:p w14:paraId="52E815CD"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11 096</w:t>
            </w:r>
          </w:p>
        </w:tc>
        <w:tc>
          <w:tcPr>
            <w:tcW w:w="560" w:type="dxa"/>
            <w:tcBorders>
              <w:top w:val="single" w:sz="4" w:space="0" w:color="auto"/>
              <w:left w:val="single" w:sz="4" w:space="0" w:color="auto"/>
              <w:bottom w:val="single" w:sz="4" w:space="0" w:color="auto"/>
              <w:right w:val="single" w:sz="4" w:space="0" w:color="auto"/>
            </w:tcBorders>
            <w:noWrap/>
            <w:vAlign w:val="bottom"/>
          </w:tcPr>
          <w:p w14:paraId="2C993C4E"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11 384</w:t>
            </w:r>
          </w:p>
        </w:tc>
        <w:tc>
          <w:tcPr>
            <w:tcW w:w="552" w:type="dxa"/>
            <w:tcBorders>
              <w:top w:val="single" w:sz="4" w:space="0" w:color="auto"/>
              <w:left w:val="single" w:sz="4" w:space="0" w:color="auto"/>
              <w:bottom w:val="single" w:sz="4" w:space="0" w:color="auto"/>
              <w:right w:val="single" w:sz="4" w:space="0" w:color="auto"/>
            </w:tcBorders>
            <w:noWrap/>
            <w:vAlign w:val="bottom"/>
          </w:tcPr>
          <w:p w14:paraId="0DAB4638"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11 669</w:t>
            </w:r>
          </w:p>
        </w:tc>
        <w:tc>
          <w:tcPr>
            <w:tcW w:w="552" w:type="dxa"/>
            <w:tcBorders>
              <w:top w:val="single" w:sz="4" w:space="0" w:color="auto"/>
              <w:left w:val="single" w:sz="4" w:space="0" w:color="auto"/>
              <w:bottom w:val="single" w:sz="4" w:space="0" w:color="auto"/>
              <w:right w:val="single" w:sz="4" w:space="0" w:color="auto"/>
            </w:tcBorders>
            <w:noWrap/>
            <w:vAlign w:val="bottom"/>
          </w:tcPr>
          <w:p w14:paraId="7EB18990"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11 949</w:t>
            </w:r>
          </w:p>
        </w:tc>
        <w:tc>
          <w:tcPr>
            <w:tcW w:w="552" w:type="dxa"/>
            <w:tcBorders>
              <w:top w:val="single" w:sz="4" w:space="0" w:color="auto"/>
              <w:left w:val="single" w:sz="4" w:space="0" w:color="auto"/>
              <w:bottom w:val="single" w:sz="4" w:space="0" w:color="auto"/>
              <w:right w:val="single" w:sz="4" w:space="0" w:color="auto"/>
            </w:tcBorders>
            <w:noWrap/>
            <w:vAlign w:val="bottom"/>
          </w:tcPr>
          <w:p w14:paraId="7BF7547E"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12 248</w:t>
            </w:r>
          </w:p>
        </w:tc>
        <w:tc>
          <w:tcPr>
            <w:tcW w:w="552" w:type="dxa"/>
            <w:tcBorders>
              <w:top w:val="single" w:sz="4" w:space="0" w:color="auto"/>
              <w:left w:val="single" w:sz="4" w:space="0" w:color="auto"/>
              <w:bottom w:val="single" w:sz="4" w:space="0" w:color="auto"/>
              <w:right w:val="single" w:sz="4" w:space="0" w:color="auto"/>
            </w:tcBorders>
            <w:noWrap/>
            <w:vAlign w:val="bottom"/>
          </w:tcPr>
          <w:p w14:paraId="5A71574A"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12 554</w:t>
            </w:r>
          </w:p>
        </w:tc>
        <w:tc>
          <w:tcPr>
            <w:tcW w:w="552" w:type="dxa"/>
            <w:tcBorders>
              <w:top w:val="single" w:sz="4" w:space="0" w:color="auto"/>
              <w:left w:val="single" w:sz="4" w:space="0" w:color="auto"/>
              <w:bottom w:val="single" w:sz="4" w:space="0" w:color="auto"/>
              <w:right w:val="single" w:sz="4" w:space="0" w:color="auto"/>
            </w:tcBorders>
            <w:noWrap/>
            <w:vAlign w:val="bottom"/>
          </w:tcPr>
          <w:p w14:paraId="492E92EA"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12 868</w:t>
            </w:r>
          </w:p>
        </w:tc>
        <w:tc>
          <w:tcPr>
            <w:tcW w:w="552" w:type="dxa"/>
            <w:tcBorders>
              <w:top w:val="single" w:sz="4" w:space="0" w:color="auto"/>
              <w:left w:val="single" w:sz="4" w:space="0" w:color="auto"/>
              <w:bottom w:val="single" w:sz="4" w:space="0" w:color="auto"/>
              <w:right w:val="single" w:sz="4" w:space="0" w:color="auto"/>
            </w:tcBorders>
            <w:noWrap/>
            <w:vAlign w:val="bottom"/>
          </w:tcPr>
          <w:p w14:paraId="1AC6FD77"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13 190</w:t>
            </w:r>
          </w:p>
        </w:tc>
        <w:tc>
          <w:tcPr>
            <w:tcW w:w="552" w:type="dxa"/>
            <w:tcBorders>
              <w:top w:val="single" w:sz="4" w:space="0" w:color="auto"/>
              <w:left w:val="single" w:sz="4" w:space="0" w:color="auto"/>
              <w:bottom w:val="single" w:sz="4" w:space="0" w:color="auto"/>
              <w:right w:val="single" w:sz="4" w:space="0" w:color="auto"/>
            </w:tcBorders>
            <w:noWrap/>
            <w:vAlign w:val="bottom"/>
          </w:tcPr>
          <w:p w14:paraId="5EF68BA1" w14:textId="77777777"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13 520</w:t>
            </w:r>
          </w:p>
        </w:tc>
        <w:tc>
          <w:tcPr>
            <w:tcW w:w="552" w:type="dxa"/>
            <w:tcBorders>
              <w:top w:val="single" w:sz="4" w:space="0" w:color="auto"/>
              <w:left w:val="single" w:sz="4" w:space="0" w:color="auto"/>
              <w:bottom w:val="single" w:sz="4" w:space="0" w:color="auto"/>
              <w:right w:val="single" w:sz="4" w:space="0" w:color="auto"/>
            </w:tcBorders>
            <w:noWrap/>
            <w:vAlign w:val="bottom"/>
          </w:tcPr>
          <w:p w14:paraId="335791AE" w14:textId="0B181EAE" w:rsidR="00036947" w:rsidRPr="0056465F" w:rsidRDefault="00036947" w:rsidP="0056465F">
            <w:pPr>
              <w:spacing w:before="120" w:after="0" w:line="360" w:lineRule="auto"/>
              <w:jc w:val="both"/>
              <w:rPr>
                <w:rFonts w:ascii="Times New Roman" w:eastAsia="Times New Roman" w:hAnsi="Times New Roman"/>
                <w:b/>
                <w:color w:val="000000"/>
                <w:sz w:val="14"/>
                <w:szCs w:val="14"/>
                <w:lang w:eastAsia="pl-PL"/>
              </w:rPr>
            </w:pPr>
            <w:r w:rsidRPr="00207D36">
              <w:rPr>
                <w:rFonts w:ascii="Times New Roman" w:hAnsi="Times New Roman"/>
                <w:color w:val="000000"/>
                <w:sz w:val="14"/>
                <w:szCs w:val="14"/>
              </w:rPr>
              <w:t>13</w:t>
            </w:r>
            <w:r w:rsidR="00EE5263" w:rsidRPr="0056465F">
              <w:rPr>
                <w:rFonts w:ascii="Times New Roman" w:hAnsi="Times New Roman"/>
                <w:color w:val="000000"/>
                <w:sz w:val="14"/>
                <w:szCs w:val="14"/>
              </w:rPr>
              <w:t xml:space="preserve"> </w:t>
            </w:r>
            <w:r w:rsidRPr="00207D36">
              <w:rPr>
                <w:rFonts w:ascii="Times New Roman" w:hAnsi="Times New Roman"/>
                <w:color w:val="000000"/>
                <w:sz w:val="14"/>
                <w:szCs w:val="14"/>
              </w:rPr>
              <w:t>858</w:t>
            </w:r>
          </w:p>
        </w:tc>
        <w:tc>
          <w:tcPr>
            <w:tcW w:w="1114" w:type="dxa"/>
          </w:tcPr>
          <w:p w14:paraId="417C9328" w14:textId="77777777" w:rsidR="00036947" w:rsidRPr="0056465F" w:rsidRDefault="00036947" w:rsidP="0056465F">
            <w:pPr>
              <w:spacing w:before="120" w:after="0" w:line="360" w:lineRule="auto"/>
              <w:jc w:val="both"/>
              <w:rPr>
                <w:rFonts w:ascii="Times New Roman" w:hAnsi="Times New Roman"/>
                <w:b/>
                <w:color w:val="000000"/>
                <w:sz w:val="14"/>
                <w:szCs w:val="14"/>
              </w:rPr>
            </w:pPr>
          </w:p>
          <w:p w14:paraId="6326424A" w14:textId="77777777" w:rsidR="00036947" w:rsidRPr="0056465F" w:rsidRDefault="00036947" w:rsidP="0056465F">
            <w:pPr>
              <w:spacing w:before="120" w:after="0" w:line="360" w:lineRule="auto"/>
              <w:jc w:val="both"/>
              <w:rPr>
                <w:rFonts w:ascii="Times New Roman" w:hAnsi="Times New Roman"/>
                <w:b/>
                <w:color w:val="000000"/>
                <w:sz w:val="14"/>
                <w:szCs w:val="14"/>
              </w:rPr>
            </w:pPr>
          </w:p>
          <w:p w14:paraId="4DCA0C24" w14:textId="77777777" w:rsidR="00036947" w:rsidRPr="0056465F" w:rsidRDefault="00036947" w:rsidP="0056465F">
            <w:pPr>
              <w:spacing w:before="120" w:after="0" w:line="360" w:lineRule="auto"/>
              <w:jc w:val="both"/>
              <w:rPr>
                <w:rFonts w:ascii="Times New Roman" w:hAnsi="Times New Roman"/>
                <w:b/>
                <w:color w:val="000000"/>
                <w:sz w:val="14"/>
                <w:szCs w:val="14"/>
              </w:rPr>
            </w:pPr>
          </w:p>
          <w:p w14:paraId="5B409333" w14:textId="2C9182C6" w:rsidR="00036947" w:rsidRPr="00207D36" w:rsidRDefault="00036947" w:rsidP="0056465F">
            <w:pPr>
              <w:spacing w:before="120" w:after="0" w:line="360" w:lineRule="auto"/>
              <w:jc w:val="both"/>
              <w:rPr>
                <w:rFonts w:ascii="Times New Roman" w:hAnsi="Times New Roman"/>
                <w:bCs/>
                <w:color w:val="000000"/>
                <w:sz w:val="14"/>
                <w:szCs w:val="14"/>
              </w:rPr>
            </w:pPr>
            <w:r w:rsidRPr="00207D36">
              <w:rPr>
                <w:rFonts w:ascii="Times New Roman" w:hAnsi="Times New Roman"/>
                <w:bCs/>
                <w:color w:val="000000"/>
                <w:sz w:val="14"/>
                <w:szCs w:val="14"/>
              </w:rPr>
              <w:t xml:space="preserve">124 </w:t>
            </w:r>
            <w:r w:rsidR="00921729" w:rsidRPr="00207D36">
              <w:rPr>
                <w:rFonts w:ascii="Times New Roman" w:hAnsi="Times New Roman"/>
                <w:bCs/>
                <w:color w:val="000000"/>
                <w:sz w:val="14"/>
                <w:szCs w:val="14"/>
              </w:rPr>
              <w:t>336</w:t>
            </w:r>
          </w:p>
        </w:tc>
      </w:tr>
      <w:tr w:rsidR="00036947" w:rsidRPr="00557CEF" w14:paraId="56B28D74" w14:textId="77777777" w:rsidTr="00917412">
        <w:trPr>
          <w:trHeight w:val="210"/>
        </w:trPr>
        <w:tc>
          <w:tcPr>
            <w:tcW w:w="1314" w:type="dxa"/>
            <w:noWrap/>
            <w:hideMark/>
          </w:tcPr>
          <w:p w14:paraId="7BEE13A5" w14:textId="77777777" w:rsidR="00036947" w:rsidRPr="0056465F" w:rsidRDefault="00036947" w:rsidP="0056465F">
            <w:pPr>
              <w:spacing w:before="120" w:after="0" w:line="360" w:lineRule="auto"/>
              <w:jc w:val="both"/>
              <w:rPr>
                <w:rFonts w:ascii="Times New Roman" w:eastAsia="Times New Roman" w:hAnsi="Times New Roman"/>
                <w:color w:val="000000"/>
                <w:sz w:val="18"/>
                <w:szCs w:val="18"/>
                <w:lang w:eastAsia="pl-PL"/>
              </w:rPr>
            </w:pPr>
            <w:r w:rsidRPr="0056465F">
              <w:rPr>
                <w:rFonts w:ascii="Times New Roman" w:eastAsia="Times New Roman" w:hAnsi="Times New Roman"/>
                <w:color w:val="000000"/>
                <w:sz w:val="18"/>
                <w:szCs w:val="18"/>
                <w:lang w:eastAsia="pl-PL"/>
              </w:rPr>
              <w:t>wskaźnik CPI (wytyczne MF)</w:t>
            </w:r>
          </w:p>
        </w:tc>
        <w:tc>
          <w:tcPr>
            <w:tcW w:w="552" w:type="dxa"/>
            <w:tcBorders>
              <w:top w:val="single" w:sz="4" w:space="0" w:color="auto"/>
              <w:left w:val="single" w:sz="4" w:space="0" w:color="auto"/>
              <w:bottom w:val="single" w:sz="4" w:space="0" w:color="auto"/>
              <w:right w:val="single" w:sz="4" w:space="0" w:color="auto"/>
            </w:tcBorders>
            <w:vAlign w:val="bottom"/>
          </w:tcPr>
          <w:p w14:paraId="7774954D"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103,6</w:t>
            </w:r>
          </w:p>
        </w:tc>
        <w:tc>
          <w:tcPr>
            <w:tcW w:w="544" w:type="dxa"/>
            <w:tcBorders>
              <w:top w:val="single" w:sz="4" w:space="0" w:color="auto"/>
              <w:left w:val="single" w:sz="4" w:space="0" w:color="auto"/>
              <w:bottom w:val="single" w:sz="4" w:space="0" w:color="auto"/>
              <w:right w:val="single" w:sz="4" w:space="0" w:color="auto"/>
            </w:tcBorders>
            <w:noWrap/>
            <w:vAlign w:val="bottom"/>
          </w:tcPr>
          <w:p w14:paraId="4E90AE9F"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103,0</w:t>
            </w:r>
          </w:p>
        </w:tc>
        <w:tc>
          <w:tcPr>
            <w:tcW w:w="560" w:type="dxa"/>
            <w:tcBorders>
              <w:top w:val="single" w:sz="4" w:space="0" w:color="auto"/>
              <w:left w:val="single" w:sz="4" w:space="0" w:color="auto"/>
              <w:bottom w:val="single" w:sz="4" w:space="0" w:color="auto"/>
              <w:right w:val="single" w:sz="4" w:space="0" w:color="auto"/>
            </w:tcBorders>
            <w:noWrap/>
            <w:vAlign w:val="bottom"/>
          </w:tcPr>
          <w:p w14:paraId="1F87E926"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102,6</w:t>
            </w:r>
          </w:p>
        </w:tc>
        <w:tc>
          <w:tcPr>
            <w:tcW w:w="552" w:type="dxa"/>
            <w:tcBorders>
              <w:top w:val="single" w:sz="4" w:space="0" w:color="auto"/>
              <w:left w:val="single" w:sz="4" w:space="0" w:color="auto"/>
              <w:bottom w:val="single" w:sz="4" w:space="0" w:color="auto"/>
              <w:right w:val="single" w:sz="4" w:space="0" w:color="auto"/>
            </w:tcBorders>
            <w:noWrap/>
            <w:vAlign w:val="bottom"/>
          </w:tcPr>
          <w:p w14:paraId="3C08130C"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552" w:type="dxa"/>
            <w:tcBorders>
              <w:top w:val="single" w:sz="4" w:space="0" w:color="auto"/>
              <w:left w:val="single" w:sz="4" w:space="0" w:color="auto"/>
              <w:bottom w:val="single" w:sz="4" w:space="0" w:color="auto"/>
              <w:right w:val="single" w:sz="4" w:space="0" w:color="auto"/>
            </w:tcBorders>
            <w:noWrap/>
            <w:vAlign w:val="bottom"/>
          </w:tcPr>
          <w:p w14:paraId="1CCF8EB3"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102,4</w:t>
            </w:r>
          </w:p>
        </w:tc>
        <w:tc>
          <w:tcPr>
            <w:tcW w:w="552" w:type="dxa"/>
            <w:tcBorders>
              <w:top w:val="single" w:sz="4" w:space="0" w:color="auto"/>
              <w:left w:val="single" w:sz="4" w:space="0" w:color="auto"/>
              <w:bottom w:val="single" w:sz="4" w:space="0" w:color="auto"/>
              <w:right w:val="single" w:sz="4" w:space="0" w:color="auto"/>
            </w:tcBorders>
            <w:noWrap/>
            <w:vAlign w:val="bottom"/>
          </w:tcPr>
          <w:p w14:paraId="61A22C9C"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552" w:type="dxa"/>
            <w:tcBorders>
              <w:top w:val="single" w:sz="4" w:space="0" w:color="auto"/>
              <w:left w:val="single" w:sz="4" w:space="0" w:color="auto"/>
              <w:bottom w:val="single" w:sz="4" w:space="0" w:color="auto"/>
              <w:right w:val="single" w:sz="4" w:space="0" w:color="auto"/>
            </w:tcBorders>
            <w:noWrap/>
            <w:vAlign w:val="bottom"/>
          </w:tcPr>
          <w:p w14:paraId="259656BB"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552" w:type="dxa"/>
            <w:tcBorders>
              <w:top w:val="single" w:sz="4" w:space="0" w:color="auto"/>
              <w:left w:val="single" w:sz="4" w:space="0" w:color="auto"/>
              <w:bottom w:val="single" w:sz="4" w:space="0" w:color="auto"/>
              <w:right w:val="single" w:sz="4" w:space="0" w:color="auto"/>
            </w:tcBorders>
            <w:noWrap/>
            <w:vAlign w:val="bottom"/>
          </w:tcPr>
          <w:p w14:paraId="138A19A8"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552" w:type="dxa"/>
            <w:tcBorders>
              <w:top w:val="single" w:sz="4" w:space="0" w:color="auto"/>
              <w:left w:val="single" w:sz="4" w:space="0" w:color="auto"/>
              <w:bottom w:val="single" w:sz="4" w:space="0" w:color="auto"/>
              <w:right w:val="single" w:sz="4" w:space="0" w:color="auto"/>
            </w:tcBorders>
            <w:noWrap/>
            <w:vAlign w:val="bottom"/>
          </w:tcPr>
          <w:p w14:paraId="3406EDB7"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552" w:type="dxa"/>
            <w:tcBorders>
              <w:top w:val="single" w:sz="4" w:space="0" w:color="auto"/>
              <w:left w:val="single" w:sz="4" w:space="0" w:color="auto"/>
              <w:bottom w:val="single" w:sz="4" w:space="0" w:color="auto"/>
              <w:right w:val="single" w:sz="4" w:space="0" w:color="auto"/>
            </w:tcBorders>
            <w:noWrap/>
            <w:vAlign w:val="bottom"/>
          </w:tcPr>
          <w:p w14:paraId="08DA5B5A"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552" w:type="dxa"/>
            <w:tcBorders>
              <w:top w:val="single" w:sz="4" w:space="0" w:color="auto"/>
              <w:left w:val="single" w:sz="4" w:space="0" w:color="auto"/>
              <w:bottom w:val="single" w:sz="4" w:space="0" w:color="auto"/>
              <w:right w:val="single" w:sz="4" w:space="0" w:color="auto"/>
            </w:tcBorders>
            <w:noWrap/>
            <w:vAlign w:val="bottom"/>
          </w:tcPr>
          <w:p w14:paraId="3BEF4551" w14:textId="77777777" w:rsidR="00036947" w:rsidRPr="00EE5263" w:rsidRDefault="00036947" w:rsidP="0056465F">
            <w:pPr>
              <w:spacing w:before="120" w:after="0" w:line="360" w:lineRule="auto"/>
              <w:jc w:val="both"/>
              <w:rPr>
                <w:rFonts w:ascii="Times New Roman" w:eastAsia="Times New Roman" w:hAnsi="Times New Roman"/>
                <w:color w:val="000000"/>
                <w:sz w:val="16"/>
                <w:szCs w:val="16"/>
                <w:lang w:eastAsia="pl-PL"/>
              </w:rPr>
            </w:pPr>
            <w:r w:rsidRPr="0056465F">
              <w:rPr>
                <w:rFonts w:ascii="Times New Roman" w:hAnsi="Times New Roman"/>
                <w:color w:val="000000"/>
                <w:sz w:val="16"/>
                <w:szCs w:val="16"/>
              </w:rPr>
              <w:t>102,5</w:t>
            </w:r>
          </w:p>
        </w:tc>
        <w:tc>
          <w:tcPr>
            <w:tcW w:w="1114" w:type="dxa"/>
          </w:tcPr>
          <w:p w14:paraId="6543020D" w14:textId="77777777" w:rsidR="00036947" w:rsidRPr="0056465F" w:rsidRDefault="00036947" w:rsidP="0056465F">
            <w:pPr>
              <w:spacing w:before="120" w:after="0" w:line="360" w:lineRule="auto"/>
              <w:jc w:val="both"/>
              <w:rPr>
                <w:rFonts w:ascii="Times New Roman" w:eastAsia="Times New Roman" w:hAnsi="Times New Roman"/>
                <w:b/>
                <w:color w:val="000000"/>
                <w:sz w:val="24"/>
                <w:szCs w:val="24"/>
                <w:lang w:eastAsia="pl-PL"/>
              </w:rPr>
            </w:pPr>
          </w:p>
        </w:tc>
      </w:tr>
    </w:tbl>
    <w:p w14:paraId="4F8514DC" w14:textId="375DB993" w:rsidR="006C3C52" w:rsidRPr="00557CEF" w:rsidRDefault="00036947" w:rsidP="0056465F">
      <w:pPr>
        <w:spacing w:before="120" w:after="0" w:line="360" w:lineRule="auto"/>
        <w:jc w:val="both"/>
        <w:rPr>
          <w:rFonts w:ascii="Times New Roman" w:hAnsi="Times New Roman"/>
          <w:sz w:val="24"/>
          <w:szCs w:val="24"/>
        </w:rPr>
      </w:pPr>
      <w:r w:rsidRPr="00557CEF">
        <w:rPr>
          <w:rFonts w:ascii="Times New Roman" w:hAnsi="Times New Roman"/>
          <w:color w:val="000000"/>
          <w:sz w:val="24"/>
          <w:szCs w:val="24"/>
        </w:rPr>
        <w:br w:type="textWrapping" w:clear="all"/>
      </w:r>
      <w:r w:rsidR="00AB7C64" w:rsidRPr="00557CEF">
        <w:rPr>
          <w:rFonts w:ascii="Times New Roman" w:hAnsi="Times New Roman"/>
          <w:bCs/>
          <w:sz w:val="24"/>
          <w:szCs w:val="24"/>
        </w:rPr>
        <w:t xml:space="preserve">Projekt ustawy, </w:t>
      </w:r>
      <w:r w:rsidR="00AB7C64" w:rsidRPr="00557CEF">
        <w:rPr>
          <w:rFonts w:ascii="Times New Roman" w:hAnsi="Times New Roman"/>
          <w:sz w:val="24"/>
          <w:szCs w:val="24"/>
        </w:rPr>
        <w:t xml:space="preserve">zgodnie z art. 5 ustawy z dnia 7 lipca 2005 r. o działalności lobbingowej </w:t>
      </w:r>
      <w:r w:rsidR="00562FCD" w:rsidRPr="00557CEF">
        <w:rPr>
          <w:rFonts w:ascii="Times New Roman" w:hAnsi="Times New Roman"/>
          <w:sz w:val="24"/>
          <w:szCs w:val="24"/>
        </w:rPr>
        <w:t>w</w:t>
      </w:r>
      <w:r w:rsidR="00C403E8" w:rsidRPr="00557CEF">
        <w:rPr>
          <w:rFonts w:ascii="Times New Roman" w:hAnsi="Times New Roman"/>
          <w:sz w:val="24"/>
          <w:szCs w:val="24"/>
        </w:rPr>
        <w:t> </w:t>
      </w:r>
      <w:r w:rsidR="00AB7C64" w:rsidRPr="00557CEF">
        <w:rPr>
          <w:rFonts w:ascii="Times New Roman" w:hAnsi="Times New Roman"/>
          <w:sz w:val="24"/>
          <w:szCs w:val="24"/>
        </w:rPr>
        <w:t xml:space="preserve">procesie stanowienia prawa (Dz. U. z </w:t>
      </w:r>
      <w:r w:rsidR="004A2EFF" w:rsidRPr="00557CEF">
        <w:rPr>
          <w:rFonts w:ascii="Times New Roman" w:hAnsi="Times New Roman"/>
          <w:sz w:val="24"/>
          <w:szCs w:val="24"/>
        </w:rPr>
        <w:t>202</w:t>
      </w:r>
      <w:r w:rsidR="002B2B45" w:rsidRPr="00557CEF">
        <w:rPr>
          <w:rFonts w:ascii="Times New Roman" w:hAnsi="Times New Roman"/>
          <w:sz w:val="24"/>
          <w:szCs w:val="24"/>
        </w:rPr>
        <w:t>6</w:t>
      </w:r>
      <w:r w:rsidR="004A2EFF" w:rsidRPr="00557CEF">
        <w:rPr>
          <w:rFonts w:ascii="Times New Roman" w:hAnsi="Times New Roman"/>
          <w:sz w:val="24"/>
          <w:szCs w:val="24"/>
        </w:rPr>
        <w:t xml:space="preserve"> </w:t>
      </w:r>
      <w:r w:rsidR="00AB7C64" w:rsidRPr="00557CEF">
        <w:rPr>
          <w:rFonts w:ascii="Times New Roman" w:hAnsi="Times New Roman"/>
          <w:sz w:val="24"/>
          <w:szCs w:val="24"/>
        </w:rPr>
        <w:t xml:space="preserve">r. poz. </w:t>
      </w:r>
      <w:r w:rsidR="002B2B45" w:rsidRPr="00557CEF">
        <w:rPr>
          <w:rFonts w:ascii="Times New Roman" w:hAnsi="Times New Roman"/>
          <w:sz w:val="24"/>
          <w:szCs w:val="24"/>
        </w:rPr>
        <w:t>936</w:t>
      </w:r>
      <w:r w:rsidR="00AB7C64" w:rsidRPr="00557CEF">
        <w:rPr>
          <w:rFonts w:ascii="Times New Roman" w:hAnsi="Times New Roman"/>
          <w:sz w:val="24"/>
          <w:szCs w:val="24"/>
        </w:rPr>
        <w:t xml:space="preserve">) oraz z § 52 ust. 1 uchwały </w:t>
      </w:r>
      <w:r w:rsidR="004C09E7">
        <w:rPr>
          <w:rFonts w:ascii="Times New Roman" w:hAnsi="Times New Roman"/>
          <w:sz w:val="24"/>
          <w:szCs w:val="24"/>
        </w:rPr>
        <w:t>n</w:t>
      </w:r>
      <w:r w:rsidR="00AB7C64" w:rsidRPr="00557CEF">
        <w:rPr>
          <w:rFonts w:ascii="Times New Roman" w:hAnsi="Times New Roman"/>
          <w:sz w:val="24"/>
          <w:szCs w:val="24"/>
        </w:rPr>
        <w:t xml:space="preserve">r 190 </w:t>
      </w:r>
      <w:r w:rsidR="00AB7C64" w:rsidRPr="00557CEF">
        <w:rPr>
          <w:rFonts w:ascii="Times New Roman" w:hAnsi="Times New Roman"/>
          <w:sz w:val="24"/>
          <w:szCs w:val="24"/>
        </w:rPr>
        <w:lastRenderedPageBreak/>
        <w:t xml:space="preserve">Rady Ministrów z dnia </w:t>
      </w:r>
      <w:r w:rsidR="004A2EFF" w:rsidRPr="00557CEF">
        <w:rPr>
          <w:rFonts w:ascii="Times New Roman" w:hAnsi="Times New Roman"/>
          <w:sz w:val="24"/>
          <w:szCs w:val="24"/>
        </w:rPr>
        <w:t xml:space="preserve">29 </w:t>
      </w:r>
      <w:r w:rsidR="00AB7C64" w:rsidRPr="00557CEF">
        <w:rPr>
          <w:rFonts w:ascii="Times New Roman" w:hAnsi="Times New Roman"/>
          <w:sz w:val="24"/>
          <w:szCs w:val="24"/>
        </w:rPr>
        <w:t xml:space="preserve">października 2013 r. </w:t>
      </w:r>
      <w:bookmarkStart w:id="1" w:name="_Hlk179794863"/>
      <w:r w:rsidR="00AB7C64" w:rsidRPr="00557CEF">
        <w:rPr>
          <w:rFonts w:ascii="Times New Roman" w:hAnsi="Times New Roman"/>
          <w:sz w:val="24"/>
          <w:szCs w:val="24"/>
        </w:rPr>
        <w:t xml:space="preserve">– </w:t>
      </w:r>
      <w:bookmarkEnd w:id="1"/>
      <w:r w:rsidR="00AB7C64" w:rsidRPr="00557CEF">
        <w:rPr>
          <w:rFonts w:ascii="Times New Roman" w:hAnsi="Times New Roman"/>
          <w:sz w:val="24"/>
          <w:szCs w:val="24"/>
        </w:rPr>
        <w:t>Regulamin pracy Rady Ministrów (M.P</w:t>
      </w:r>
      <w:r w:rsidR="004A2EFF" w:rsidRPr="00557CEF">
        <w:rPr>
          <w:rFonts w:ascii="Times New Roman" w:hAnsi="Times New Roman"/>
          <w:sz w:val="24"/>
          <w:szCs w:val="24"/>
        </w:rPr>
        <w:t xml:space="preserve">. z </w:t>
      </w:r>
      <w:r w:rsidR="00F57EA4" w:rsidRPr="00557CEF">
        <w:rPr>
          <w:rFonts w:ascii="Times New Roman" w:hAnsi="Times New Roman"/>
          <w:sz w:val="24"/>
          <w:szCs w:val="24"/>
        </w:rPr>
        <w:t xml:space="preserve">2026 </w:t>
      </w:r>
      <w:r w:rsidR="00AB7C64" w:rsidRPr="00557CEF">
        <w:rPr>
          <w:rFonts w:ascii="Times New Roman" w:hAnsi="Times New Roman"/>
          <w:sz w:val="24"/>
          <w:szCs w:val="24"/>
        </w:rPr>
        <w:t xml:space="preserve">r. poz. </w:t>
      </w:r>
      <w:r w:rsidR="00F57EA4" w:rsidRPr="00557CEF">
        <w:rPr>
          <w:rFonts w:ascii="Times New Roman" w:hAnsi="Times New Roman"/>
          <w:sz w:val="24"/>
          <w:szCs w:val="24"/>
        </w:rPr>
        <w:t>404</w:t>
      </w:r>
      <w:r w:rsidR="00AB7C64" w:rsidRPr="00557CEF">
        <w:rPr>
          <w:rFonts w:ascii="Times New Roman" w:hAnsi="Times New Roman"/>
          <w:sz w:val="24"/>
          <w:szCs w:val="24"/>
        </w:rPr>
        <w:t>)</w:t>
      </w:r>
      <w:r w:rsidR="00CA19B5" w:rsidRPr="00557CEF">
        <w:rPr>
          <w:rFonts w:ascii="Times New Roman" w:hAnsi="Times New Roman"/>
          <w:sz w:val="24"/>
          <w:szCs w:val="24"/>
        </w:rPr>
        <w:t>,</w:t>
      </w:r>
      <w:r w:rsidR="00AB7C64" w:rsidRPr="00557CEF">
        <w:rPr>
          <w:rFonts w:ascii="Times New Roman" w:hAnsi="Times New Roman"/>
          <w:sz w:val="24"/>
          <w:szCs w:val="24"/>
        </w:rPr>
        <w:t xml:space="preserve"> zosta</w:t>
      </w:r>
      <w:r w:rsidR="00061A17" w:rsidRPr="00557CEF">
        <w:rPr>
          <w:rFonts w:ascii="Times New Roman" w:hAnsi="Times New Roman"/>
          <w:sz w:val="24"/>
          <w:szCs w:val="24"/>
        </w:rPr>
        <w:t>ł</w:t>
      </w:r>
      <w:r w:rsidR="00AB7C64" w:rsidRPr="00557CEF">
        <w:rPr>
          <w:rFonts w:ascii="Times New Roman" w:hAnsi="Times New Roman"/>
          <w:sz w:val="24"/>
          <w:szCs w:val="24"/>
        </w:rPr>
        <w:t xml:space="preserve"> udostępniony </w:t>
      </w:r>
      <w:r w:rsidR="00562FCD" w:rsidRPr="00557CEF">
        <w:rPr>
          <w:rFonts w:ascii="Times New Roman" w:hAnsi="Times New Roman"/>
          <w:sz w:val="24"/>
          <w:szCs w:val="24"/>
        </w:rPr>
        <w:t xml:space="preserve">w Biuletynie Informacji Publicznej </w:t>
      </w:r>
      <w:r w:rsidR="00AB7C64" w:rsidRPr="00557CEF">
        <w:rPr>
          <w:rFonts w:ascii="Times New Roman" w:hAnsi="Times New Roman"/>
          <w:sz w:val="24"/>
          <w:szCs w:val="24"/>
        </w:rPr>
        <w:t>na stronie podmiotowej Rządowego Centrum Legislacji w</w:t>
      </w:r>
      <w:r w:rsidR="00045B4D" w:rsidRPr="00557CEF">
        <w:rPr>
          <w:rFonts w:ascii="Times New Roman" w:hAnsi="Times New Roman"/>
          <w:sz w:val="24"/>
          <w:szCs w:val="24"/>
        </w:rPr>
        <w:t xml:space="preserve"> </w:t>
      </w:r>
      <w:r w:rsidR="00AB7C64" w:rsidRPr="00557CEF">
        <w:rPr>
          <w:rFonts w:ascii="Times New Roman" w:hAnsi="Times New Roman"/>
          <w:sz w:val="24"/>
          <w:szCs w:val="24"/>
        </w:rPr>
        <w:t xml:space="preserve">zakładce </w:t>
      </w:r>
      <w:r w:rsidR="00AB7C64" w:rsidRPr="00557CEF">
        <w:rPr>
          <w:rFonts w:ascii="Times New Roman" w:hAnsi="Times New Roman"/>
          <w:i/>
          <w:sz w:val="24"/>
          <w:szCs w:val="24"/>
        </w:rPr>
        <w:t>Rządowy Proces Legislacyjny.</w:t>
      </w:r>
      <w:r w:rsidR="00045B4D" w:rsidRPr="00557CEF">
        <w:rPr>
          <w:rFonts w:ascii="Times New Roman" w:hAnsi="Times New Roman"/>
          <w:sz w:val="24"/>
          <w:szCs w:val="24"/>
        </w:rPr>
        <w:t xml:space="preserve"> </w:t>
      </w:r>
      <w:r w:rsidR="006C3C52" w:rsidRPr="00557CEF">
        <w:rPr>
          <w:rFonts w:ascii="Times New Roman" w:hAnsi="Times New Roman"/>
          <w:sz w:val="24"/>
          <w:szCs w:val="24"/>
        </w:rPr>
        <w:t>Żaden podmiot nie zgłosił zainteresowania pracami nad projektem</w:t>
      </w:r>
      <w:r w:rsidR="008A1377" w:rsidRPr="00557CEF">
        <w:rPr>
          <w:rFonts w:ascii="Times New Roman" w:hAnsi="Times New Roman"/>
          <w:sz w:val="24"/>
          <w:szCs w:val="24"/>
        </w:rPr>
        <w:t xml:space="preserve"> w trybie przepisów o działalności lobbingowej w procesie stanowienia prawa</w:t>
      </w:r>
      <w:r w:rsidR="006C3C52" w:rsidRPr="00557CEF">
        <w:rPr>
          <w:rFonts w:ascii="Times New Roman" w:hAnsi="Times New Roman"/>
          <w:sz w:val="24"/>
          <w:szCs w:val="24"/>
        </w:rPr>
        <w:t xml:space="preserve">. </w:t>
      </w:r>
    </w:p>
    <w:p w14:paraId="41011E72" w14:textId="4565AED6" w:rsidR="00AB7C64" w:rsidRPr="00557CEF" w:rsidRDefault="00AB7C64"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Projekt ustawy nie zawiera przepisów technicznych w rozumieniu przepisów rozporządzenia Rady Ministrów z dnia 23 grudnia 2002 r. w sprawie sposobu funkcjonowania krajowego systemu notyfikacji norm i aktów prawnych (Dz. U. poz. 2039</w:t>
      </w:r>
      <w:r w:rsidR="0092748A" w:rsidRPr="00557CEF">
        <w:rPr>
          <w:rFonts w:ascii="Times New Roman" w:hAnsi="Times New Roman"/>
          <w:sz w:val="24"/>
          <w:szCs w:val="24"/>
        </w:rPr>
        <w:t xml:space="preserve"> oraz z 2004 r. poz. 597</w:t>
      </w:r>
      <w:r w:rsidRPr="00557CEF">
        <w:rPr>
          <w:rFonts w:ascii="Times New Roman" w:hAnsi="Times New Roman"/>
          <w:sz w:val="24"/>
          <w:szCs w:val="24"/>
        </w:rPr>
        <w:t>) i</w:t>
      </w:r>
      <w:r w:rsidR="00C403E8" w:rsidRPr="00557CEF">
        <w:rPr>
          <w:rFonts w:ascii="Times New Roman" w:hAnsi="Times New Roman"/>
          <w:sz w:val="24"/>
          <w:szCs w:val="24"/>
        </w:rPr>
        <w:t> </w:t>
      </w:r>
      <w:r w:rsidRPr="00557CEF">
        <w:rPr>
          <w:rFonts w:ascii="Times New Roman" w:hAnsi="Times New Roman"/>
          <w:sz w:val="24"/>
          <w:szCs w:val="24"/>
        </w:rPr>
        <w:t>w</w:t>
      </w:r>
      <w:r w:rsidR="00C403E8" w:rsidRPr="00557CEF">
        <w:rPr>
          <w:rFonts w:ascii="Times New Roman" w:hAnsi="Times New Roman"/>
          <w:sz w:val="24"/>
          <w:szCs w:val="24"/>
        </w:rPr>
        <w:t> </w:t>
      </w:r>
      <w:r w:rsidRPr="00557CEF">
        <w:rPr>
          <w:rFonts w:ascii="Times New Roman" w:hAnsi="Times New Roman"/>
          <w:sz w:val="24"/>
          <w:szCs w:val="24"/>
        </w:rPr>
        <w:t>związku z tym nie podlega notyfikacji.</w:t>
      </w:r>
    </w:p>
    <w:p w14:paraId="62F9D972" w14:textId="556A0E11" w:rsidR="00AB7C64" w:rsidRPr="00557CEF" w:rsidRDefault="00AB7C64" w:rsidP="0056465F">
      <w:pPr>
        <w:spacing w:before="120" w:after="0" w:line="360" w:lineRule="auto"/>
        <w:jc w:val="both"/>
        <w:rPr>
          <w:rFonts w:ascii="Times New Roman" w:hAnsi="Times New Roman"/>
          <w:bCs/>
          <w:sz w:val="24"/>
          <w:szCs w:val="24"/>
        </w:rPr>
      </w:pPr>
      <w:r w:rsidRPr="00557CEF">
        <w:rPr>
          <w:rFonts w:ascii="Times New Roman" w:hAnsi="Times New Roman"/>
          <w:bCs/>
          <w:sz w:val="24"/>
          <w:szCs w:val="24"/>
        </w:rPr>
        <w:t xml:space="preserve">Projekt ustawy nie wpływa na działalność mikroprzedsiębiorców, małych </w:t>
      </w:r>
      <w:r w:rsidR="00562FCD" w:rsidRPr="00557CEF">
        <w:rPr>
          <w:rFonts w:ascii="Times New Roman" w:hAnsi="Times New Roman"/>
          <w:bCs/>
          <w:sz w:val="24"/>
          <w:szCs w:val="24"/>
        </w:rPr>
        <w:t xml:space="preserve">i </w:t>
      </w:r>
      <w:r w:rsidRPr="00557CEF">
        <w:rPr>
          <w:rFonts w:ascii="Times New Roman" w:hAnsi="Times New Roman"/>
          <w:bCs/>
          <w:sz w:val="24"/>
          <w:szCs w:val="24"/>
        </w:rPr>
        <w:t>średnich przedsiębiorców.</w:t>
      </w:r>
    </w:p>
    <w:p w14:paraId="2276F14C" w14:textId="7B62A157" w:rsidR="00C16257" w:rsidRPr="00557CEF" w:rsidRDefault="00642E5D" w:rsidP="0056465F">
      <w:pPr>
        <w:spacing w:before="120" w:after="0" w:line="360" w:lineRule="auto"/>
        <w:jc w:val="both"/>
        <w:rPr>
          <w:rFonts w:ascii="Times New Roman" w:hAnsi="Times New Roman"/>
          <w:bCs/>
          <w:sz w:val="24"/>
          <w:szCs w:val="24"/>
        </w:rPr>
      </w:pPr>
      <w:r w:rsidRPr="00557CEF">
        <w:rPr>
          <w:rFonts w:ascii="Times New Roman" w:hAnsi="Times New Roman"/>
          <w:bCs/>
          <w:sz w:val="24"/>
          <w:szCs w:val="24"/>
        </w:rPr>
        <w:t xml:space="preserve">Biorąc pod uwagę, że projektowana regulacja ma istotne znaczenie dla twórców i wydawców uprawnionych z tytułu </w:t>
      </w:r>
      <w:r w:rsidR="004A2EFF" w:rsidRPr="00557CEF">
        <w:rPr>
          <w:rFonts w:ascii="Times New Roman" w:hAnsi="Times New Roman"/>
          <w:bCs/>
          <w:iCs/>
          <w:sz w:val="24"/>
          <w:szCs w:val="24"/>
        </w:rPr>
        <w:t>PLR</w:t>
      </w:r>
      <w:r w:rsidRPr="00557CEF">
        <w:rPr>
          <w:rFonts w:ascii="Times New Roman" w:hAnsi="Times New Roman"/>
          <w:bCs/>
          <w:iCs/>
          <w:sz w:val="24"/>
          <w:szCs w:val="24"/>
        </w:rPr>
        <w:t xml:space="preserve"> </w:t>
      </w:r>
      <w:r w:rsidRPr="00557CEF">
        <w:rPr>
          <w:rFonts w:ascii="Times New Roman" w:hAnsi="Times New Roman"/>
          <w:bCs/>
          <w:sz w:val="24"/>
          <w:szCs w:val="24"/>
        </w:rPr>
        <w:t>w zakresie zagwarantowania im kontynuacji wypłaty należnych wynagrodzeń w latach 202</w:t>
      </w:r>
      <w:r w:rsidR="00F92A2B" w:rsidRPr="00557CEF">
        <w:rPr>
          <w:rFonts w:ascii="Times New Roman" w:hAnsi="Times New Roman"/>
          <w:bCs/>
          <w:sz w:val="24"/>
          <w:szCs w:val="24"/>
        </w:rPr>
        <w:t>6</w:t>
      </w:r>
      <w:r w:rsidRPr="00557CEF">
        <w:rPr>
          <w:rFonts w:ascii="Times New Roman" w:hAnsi="Times New Roman"/>
          <w:bCs/>
          <w:sz w:val="24"/>
          <w:szCs w:val="24"/>
        </w:rPr>
        <w:t>–203</w:t>
      </w:r>
      <w:r w:rsidR="00F92A2B" w:rsidRPr="00557CEF">
        <w:rPr>
          <w:rFonts w:ascii="Times New Roman" w:hAnsi="Times New Roman"/>
          <w:bCs/>
          <w:sz w:val="24"/>
          <w:szCs w:val="24"/>
        </w:rPr>
        <w:t>5</w:t>
      </w:r>
      <w:r w:rsidRPr="00557CEF">
        <w:rPr>
          <w:rFonts w:ascii="Times New Roman" w:hAnsi="Times New Roman"/>
          <w:bCs/>
          <w:sz w:val="24"/>
          <w:szCs w:val="24"/>
        </w:rPr>
        <w:t xml:space="preserve">, proponuje się, </w:t>
      </w:r>
      <w:r w:rsidR="00C16257" w:rsidRPr="00557CEF">
        <w:rPr>
          <w:rFonts w:ascii="Times New Roman" w:hAnsi="Times New Roman"/>
          <w:bCs/>
          <w:sz w:val="24"/>
          <w:szCs w:val="24"/>
        </w:rPr>
        <w:t xml:space="preserve">aby ustawa weszła w życie </w:t>
      </w:r>
      <w:r w:rsidR="00946A3B" w:rsidRPr="00557CEF">
        <w:rPr>
          <w:rFonts w:ascii="Times New Roman" w:hAnsi="Times New Roman"/>
          <w:bCs/>
          <w:sz w:val="24"/>
          <w:szCs w:val="24"/>
        </w:rPr>
        <w:t>z dniem</w:t>
      </w:r>
      <w:r w:rsidR="00C16257" w:rsidRPr="00557CEF">
        <w:rPr>
          <w:rFonts w:ascii="Times New Roman" w:hAnsi="Times New Roman"/>
          <w:bCs/>
          <w:sz w:val="24"/>
          <w:szCs w:val="24"/>
        </w:rPr>
        <w:t xml:space="preserve"> następującym po dniu ogłoszenia.</w:t>
      </w:r>
    </w:p>
    <w:p w14:paraId="3770504C" w14:textId="65B5250B" w:rsidR="00C16257" w:rsidRPr="00557CEF" w:rsidRDefault="00C16257" w:rsidP="0056465F">
      <w:pPr>
        <w:spacing w:before="120" w:after="0" w:line="360" w:lineRule="auto"/>
        <w:jc w:val="both"/>
        <w:rPr>
          <w:rFonts w:ascii="Times New Roman" w:hAnsi="Times New Roman"/>
          <w:bCs/>
          <w:sz w:val="24"/>
          <w:szCs w:val="24"/>
        </w:rPr>
      </w:pPr>
      <w:r w:rsidRPr="00557CEF">
        <w:rPr>
          <w:rFonts w:ascii="Times New Roman" w:hAnsi="Times New Roman"/>
          <w:bCs/>
          <w:sz w:val="24"/>
          <w:szCs w:val="24"/>
        </w:rPr>
        <w:t>Termin wejścia w życie ustawy nie narusza zasad demokratycznego państwa prawnego i nie stoi w sprzeczności z art. 4 ust. 2 ustawy z dnia 20 lipca 2000 r. o ogłaszaniu aktów normatywnych i niektórych innych aktów prawnych (Dz. U. z 2019 r. poz. 1461</w:t>
      </w:r>
      <w:r w:rsidR="007922E7" w:rsidRPr="00557CEF">
        <w:rPr>
          <w:rFonts w:ascii="Times New Roman" w:hAnsi="Times New Roman"/>
          <w:bCs/>
          <w:sz w:val="24"/>
          <w:szCs w:val="24"/>
        </w:rPr>
        <w:t xml:space="preserve"> oraz z 2026 r. poz. 912</w:t>
      </w:r>
      <w:r w:rsidRPr="00557CEF">
        <w:rPr>
          <w:rFonts w:ascii="Times New Roman" w:hAnsi="Times New Roman"/>
          <w:bCs/>
          <w:sz w:val="24"/>
          <w:szCs w:val="24"/>
        </w:rPr>
        <w:t>).</w:t>
      </w:r>
    </w:p>
    <w:p w14:paraId="4D9C3D79" w14:textId="5A61901E" w:rsidR="00E22C1B" w:rsidRPr="00557CEF" w:rsidRDefault="00E22C1B" w:rsidP="0056465F">
      <w:pPr>
        <w:spacing w:before="120" w:after="0" w:line="360" w:lineRule="auto"/>
        <w:jc w:val="both"/>
        <w:rPr>
          <w:rFonts w:ascii="Times New Roman" w:hAnsi="Times New Roman"/>
          <w:bCs/>
          <w:sz w:val="24"/>
          <w:szCs w:val="24"/>
        </w:rPr>
      </w:pPr>
      <w:r w:rsidRPr="00557CEF">
        <w:rPr>
          <w:rFonts w:ascii="Times New Roman" w:hAnsi="Times New Roman"/>
          <w:bCs/>
          <w:sz w:val="24"/>
          <w:szCs w:val="24"/>
        </w:rPr>
        <w:t>Projekt ustawy nie wymaga wprowadzenia przepisów przejściowych odnoszących się do umów zawieranych na podstawie art. 35</w:t>
      </w:r>
      <w:r w:rsidR="00C7624D" w:rsidRPr="0056465F">
        <w:rPr>
          <w:rStyle w:val="IGindeksgrny"/>
          <w:rFonts w:ascii="Times New Roman" w:hAnsi="Times New Roman"/>
          <w:sz w:val="24"/>
          <w:szCs w:val="24"/>
        </w:rPr>
        <w:t>[</w:t>
      </w:r>
      <w:r w:rsidRPr="00557CEF">
        <w:rPr>
          <w:rFonts w:ascii="Times New Roman" w:hAnsi="Times New Roman"/>
          <w:bCs/>
          <w:sz w:val="24"/>
          <w:szCs w:val="24"/>
        </w:rPr>
        <w:t>¹</w:t>
      </w:r>
      <w:r w:rsidR="00C7624D" w:rsidRPr="0056465F">
        <w:rPr>
          <w:rStyle w:val="IGindeksgrny"/>
          <w:rFonts w:ascii="Times New Roman" w:hAnsi="Times New Roman"/>
          <w:sz w:val="24"/>
          <w:szCs w:val="24"/>
        </w:rPr>
        <w:t>]</w:t>
      </w:r>
      <w:r w:rsidRPr="00557CEF">
        <w:rPr>
          <w:rFonts w:ascii="Times New Roman" w:hAnsi="Times New Roman"/>
          <w:bCs/>
          <w:sz w:val="24"/>
          <w:szCs w:val="24"/>
        </w:rPr>
        <w:t xml:space="preserve"> ust. 8 ustawy z dnia 4 lutego 1994 r. o prawie autorskim i</w:t>
      </w:r>
      <w:r w:rsidR="008A1377" w:rsidRPr="00557CEF">
        <w:rPr>
          <w:rFonts w:ascii="Times New Roman" w:hAnsi="Times New Roman"/>
          <w:bCs/>
          <w:sz w:val="24"/>
          <w:szCs w:val="24"/>
        </w:rPr>
        <w:t> </w:t>
      </w:r>
      <w:r w:rsidRPr="00557CEF">
        <w:rPr>
          <w:rFonts w:ascii="Times New Roman" w:hAnsi="Times New Roman"/>
          <w:bCs/>
          <w:sz w:val="24"/>
          <w:szCs w:val="24"/>
        </w:rPr>
        <w:t>prawach pokrewnych.</w:t>
      </w:r>
    </w:p>
    <w:p w14:paraId="18CCD8CE" w14:textId="3B39A43F" w:rsidR="00E22C1B" w:rsidRPr="00557CEF" w:rsidRDefault="00E22C1B" w:rsidP="0056465F">
      <w:pPr>
        <w:spacing w:before="120" w:after="0" w:line="360" w:lineRule="auto"/>
        <w:jc w:val="both"/>
        <w:rPr>
          <w:rFonts w:ascii="Times New Roman" w:hAnsi="Times New Roman"/>
          <w:bCs/>
          <w:sz w:val="24"/>
          <w:szCs w:val="24"/>
        </w:rPr>
      </w:pPr>
      <w:r w:rsidRPr="00557CEF">
        <w:rPr>
          <w:rFonts w:ascii="Times New Roman" w:hAnsi="Times New Roman"/>
          <w:bCs/>
          <w:sz w:val="24"/>
          <w:szCs w:val="24"/>
        </w:rPr>
        <w:t>Projektowana zmiana dotyczy wyłącznie zwiększenia maksymalnego poziomu środków Funduszu Promocji Kultury przeznaczanych na finansowanie wynagrodzeń za użyczenia biblioteczne. Nie zmienia ona zasad zawierania umów, o których mowa w art. 35</w:t>
      </w:r>
      <w:r w:rsidR="00D845BD" w:rsidRPr="0056465F">
        <w:rPr>
          <w:rStyle w:val="IGindeksgrny"/>
          <w:rFonts w:ascii="Times New Roman" w:hAnsi="Times New Roman"/>
          <w:sz w:val="24"/>
          <w:szCs w:val="24"/>
        </w:rPr>
        <w:t>[</w:t>
      </w:r>
      <w:r w:rsidRPr="00557CEF">
        <w:rPr>
          <w:rFonts w:ascii="Times New Roman" w:hAnsi="Times New Roman"/>
          <w:bCs/>
          <w:sz w:val="24"/>
          <w:szCs w:val="24"/>
        </w:rPr>
        <w:t>¹</w:t>
      </w:r>
      <w:r w:rsidR="00D845BD" w:rsidRPr="0056465F">
        <w:rPr>
          <w:rStyle w:val="IGindeksgrny"/>
          <w:rFonts w:ascii="Times New Roman" w:hAnsi="Times New Roman"/>
          <w:sz w:val="24"/>
          <w:szCs w:val="24"/>
        </w:rPr>
        <w:t>]</w:t>
      </w:r>
      <w:r w:rsidRPr="00557CEF">
        <w:rPr>
          <w:rFonts w:ascii="Times New Roman" w:hAnsi="Times New Roman"/>
          <w:bCs/>
          <w:sz w:val="24"/>
          <w:szCs w:val="24"/>
        </w:rPr>
        <w:t xml:space="preserve"> ust. 8 </w:t>
      </w:r>
      <w:r w:rsidR="008A1377" w:rsidRPr="00557CEF">
        <w:rPr>
          <w:rFonts w:ascii="Times New Roman" w:hAnsi="Times New Roman"/>
          <w:bCs/>
          <w:sz w:val="24"/>
          <w:szCs w:val="24"/>
        </w:rPr>
        <w:t>ww.</w:t>
      </w:r>
      <w:r w:rsidR="00A66DB7" w:rsidRPr="00557CEF">
        <w:rPr>
          <w:rFonts w:ascii="Times New Roman" w:hAnsi="Times New Roman"/>
          <w:bCs/>
          <w:sz w:val="24"/>
          <w:szCs w:val="24"/>
        </w:rPr>
        <w:t> </w:t>
      </w:r>
      <w:r w:rsidRPr="00557CEF">
        <w:rPr>
          <w:rFonts w:ascii="Times New Roman" w:hAnsi="Times New Roman"/>
          <w:bCs/>
          <w:sz w:val="24"/>
          <w:szCs w:val="24"/>
        </w:rPr>
        <w:t>ustawy, ani praw i obowiązków podmiotów uczestniczących w systemie wynagrodzeń za użyczenia biblioteczne. Umowy te są zawierane corocznie i określają wysokość dofinansowania na dany rok zgodnie z obowiązującym stanem prawnym. W związku z tym nie zachodzi potrzeba regulowania wpływu projektowanej ustawy na umowy zawierane w 2026 r. Wejście ustawy w życie z dniem następującym po dniu ogłoszenia pozwoli na niezwłoczne zastosowanie zwiększonego limitu środków Funduszu Promocji Kultury</w:t>
      </w:r>
      <w:r w:rsidR="003E49DC" w:rsidRPr="00557CEF">
        <w:rPr>
          <w:rFonts w:ascii="Times New Roman" w:hAnsi="Times New Roman"/>
          <w:bCs/>
          <w:sz w:val="24"/>
          <w:szCs w:val="24"/>
        </w:rPr>
        <w:t>.</w:t>
      </w:r>
    </w:p>
    <w:p w14:paraId="2617E90B" w14:textId="77777777" w:rsidR="001B0416" w:rsidRPr="00557CEF" w:rsidRDefault="001B0416"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t>Projekt ustawy jest zgodny z prawem Unii Europejskiej.</w:t>
      </w:r>
    </w:p>
    <w:p w14:paraId="46E7AC6E" w14:textId="513DDAF9" w:rsidR="001B0416" w:rsidRPr="00557CEF" w:rsidRDefault="001B0416" w:rsidP="0056465F">
      <w:pPr>
        <w:spacing w:before="120" w:after="0" w:line="360" w:lineRule="auto"/>
        <w:jc w:val="both"/>
        <w:rPr>
          <w:rFonts w:ascii="Times New Roman" w:hAnsi="Times New Roman"/>
          <w:sz w:val="24"/>
          <w:szCs w:val="24"/>
        </w:rPr>
      </w:pPr>
      <w:r w:rsidRPr="00557CEF">
        <w:rPr>
          <w:rFonts w:ascii="Times New Roman" w:hAnsi="Times New Roman"/>
          <w:sz w:val="24"/>
          <w:szCs w:val="24"/>
        </w:rPr>
        <w:lastRenderedPageBreak/>
        <w:t>Projekt nie wymaga przedstawienia właściwym organom i instytucjom Unii Europejskiej,</w:t>
      </w:r>
      <w:r w:rsidR="00C403E8" w:rsidRPr="00557CEF">
        <w:rPr>
          <w:rFonts w:ascii="Times New Roman" w:hAnsi="Times New Roman"/>
          <w:sz w:val="24"/>
          <w:szCs w:val="24"/>
        </w:rPr>
        <w:t xml:space="preserve"> </w:t>
      </w:r>
      <w:r w:rsidRPr="00557CEF">
        <w:rPr>
          <w:rFonts w:ascii="Times New Roman" w:hAnsi="Times New Roman"/>
          <w:sz w:val="24"/>
          <w:szCs w:val="24"/>
        </w:rPr>
        <w:t>w</w:t>
      </w:r>
      <w:r w:rsidR="00C403E8" w:rsidRPr="00557CEF">
        <w:rPr>
          <w:rFonts w:ascii="Times New Roman" w:hAnsi="Times New Roman"/>
          <w:sz w:val="24"/>
          <w:szCs w:val="24"/>
        </w:rPr>
        <w:t> </w:t>
      </w:r>
      <w:r w:rsidRPr="00557CEF">
        <w:rPr>
          <w:rFonts w:ascii="Times New Roman" w:hAnsi="Times New Roman"/>
          <w:sz w:val="24"/>
          <w:szCs w:val="24"/>
        </w:rPr>
        <w:t>tym Europejskiemu Bankowi Centralnemu, w celu uzyskania opinii, dokonania powiadomienia, konsultacji albo uzgodnienia, jeżeli obowiązek taki wynika z odrębnych przepisów.</w:t>
      </w:r>
    </w:p>
    <w:sectPr w:rsidR="001B0416" w:rsidRPr="00557CEF" w:rsidSect="009F4AE7">
      <w:footerReference w:type="default" r:id="rId8"/>
      <w:pgSz w:w="11906" w:h="16838"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4127B" w14:textId="77777777" w:rsidR="00FD0F10" w:rsidRDefault="00FD0F10" w:rsidP="007E0AE7">
      <w:pPr>
        <w:spacing w:after="0" w:line="240" w:lineRule="auto"/>
      </w:pPr>
      <w:r>
        <w:separator/>
      </w:r>
    </w:p>
  </w:endnote>
  <w:endnote w:type="continuationSeparator" w:id="0">
    <w:p w14:paraId="61D6FB5C" w14:textId="77777777" w:rsidR="00FD0F10" w:rsidRDefault="00FD0F10" w:rsidP="007E0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024065"/>
      <w:docPartObj>
        <w:docPartGallery w:val="Page Numbers (Bottom of Page)"/>
        <w:docPartUnique/>
      </w:docPartObj>
    </w:sdtPr>
    <w:sdtEndPr/>
    <w:sdtContent>
      <w:p w14:paraId="5A361A8D" w14:textId="213819FF" w:rsidR="00870659" w:rsidRDefault="00870659">
        <w:pPr>
          <w:pStyle w:val="Stopka"/>
          <w:jc w:val="center"/>
        </w:pPr>
        <w:r w:rsidRPr="00870659">
          <w:rPr>
            <w:rFonts w:ascii="Times New Roman" w:hAnsi="Times New Roman"/>
            <w:sz w:val="24"/>
            <w:szCs w:val="24"/>
          </w:rPr>
          <w:fldChar w:fldCharType="begin"/>
        </w:r>
        <w:r w:rsidRPr="00870659">
          <w:rPr>
            <w:rFonts w:ascii="Times New Roman" w:hAnsi="Times New Roman"/>
            <w:sz w:val="24"/>
            <w:szCs w:val="24"/>
          </w:rPr>
          <w:instrText>PAGE   \* MERGEFORMAT</w:instrText>
        </w:r>
        <w:r w:rsidRPr="00870659">
          <w:rPr>
            <w:rFonts w:ascii="Times New Roman" w:hAnsi="Times New Roman"/>
            <w:sz w:val="24"/>
            <w:szCs w:val="24"/>
          </w:rPr>
          <w:fldChar w:fldCharType="separate"/>
        </w:r>
        <w:r w:rsidRPr="00870659">
          <w:rPr>
            <w:rFonts w:ascii="Times New Roman" w:hAnsi="Times New Roman"/>
            <w:sz w:val="24"/>
            <w:szCs w:val="24"/>
          </w:rPr>
          <w:t>2</w:t>
        </w:r>
        <w:r w:rsidRPr="00870659">
          <w:rPr>
            <w:rFonts w:ascii="Times New Roman" w:hAnsi="Times New Roman"/>
            <w:sz w:val="24"/>
            <w:szCs w:val="24"/>
          </w:rPr>
          <w:fldChar w:fldCharType="end"/>
        </w:r>
      </w:p>
    </w:sdtContent>
  </w:sdt>
  <w:p w14:paraId="3075825F" w14:textId="6C998FFF" w:rsidR="00C81AC3" w:rsidRPr="009C3AAF" w:rsidRDefault="00C81AC3" w:rsidP="009C3AAF">
    <w:pPr>
      <w:pStyle w:val="Stopka"/>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6B225" w14:textId="77777777" w:rsidR="00FD0F10" w:rsidRDefault="00FD0F10" w:rsidP="007E0AE7">
      <w:pPr>
        <w:spacing w:after="0" w:line="240" w:lineRule="auto"/>
      </w:pPr>
      <w:r>
        <w:separator/>
      </w:r>
    </w:p>
  </w:footnote>
  <w:footnote w:type="continuationSeparator" w:id="0">
    <w:p w14:paraId="0DC930F9" w14:textId="77777777" w:rsidR="00FD0F10" w:rsidRDefault="00FD0F10" w:rsidP="007E0A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 w15:restartNumberingAfterBreak="0">
    <w:nsid w:val="03103264"/>
    <w:multiLevelType w:val="hybridMultilevel"/>
    <w:tmpl w:val="9C420230"/>
    <w:lvl w:ilvl="0" w:tplc="3D507204">
      <w:start w:val="1"/>
      <w:numFmt w:val="decimal"/>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rPr>
        <w:rFonts w:cs="Times New Roman"/>
      </w:rPr>
    </w:lvl>
    <w:lvl w:ilvl="2" w:tplc="0415001B">
      <w:start w:val="1"/>
      <w:numFmt w:val="lowerRoman"/>
      <w:lvlText w:val="%3."/>
      <w:lvlJc w:val="right"/>
      <w:pPr>
        <w:ind w:left="2520" w:hanging="180"/>
      </w:pPr>
      <w:rPr>
        <w:rFonts w:cs="Times New Roman"/>
      </w:rPr>
    </w:lvl>
    <w:lvl w:ilvl="3" w:tplc="0415000F">
      <w:start w:val="1"/>
      <w:numFmt w:val="decimal"/>
      <w:lvlText w:val="%4."/>
      <w:lvlJc w:val="left"/>
      <w:pPr>
        <w:ind w:left="3240" w:hanging="360"/>
      </w:pPr>
      <w:rPr>
        <w:rFonts w:cs="Times New Roman"/>
      </w:rPr>
    </w:lvl>
    <w:lvl w:ilvl="4" w:tplc="04150019">
      <w:start w:val="1"/>
      <w:numFmt w:val="lowerLetter"/>
      <w:lvlText w:val="%5."/>
      <w:lvlJc w:val="left"/>
      <w:pPr>
        <w:ind w:left="3960" w:hanging="360"/>
      </w:pPr>
      <w:rPr>
        <w:rFonts w:cs="Times New Roman"/>
      </w:rPr>
    </w:lvl>
    <w:lvl w:ilvl="5" w:tplc="0415001B">
      <w:start w:val="1"/>
      <w:numFmt w:val="lowerRoman"/>
      <w:lvlText w:val="%6."/>
      <w:lvlJc w:val="right"/>
      <w:pPr>
        <w:ind w:left="4680" w:hanging="180"/>
      </w:pPr>
      <w:rPr>
        <w:rFonts w:cs="Times New Roman"/>
      </w:rPr>
    </w:lvl>
    <w:lvl w:ilvl="6" w:tplc="0415000F">
      <w:start w:val="1"/>
      <w:numFmt w:val="decimal"/>
      <w:lvlText w:val="%7."/>
      <w:lvlJc w:val="left"/>
      <w:pPr>
        <w:ind w:left="5400" w:hanging="360"/>
      </w:pPr>
      <w:rPr>
        <w:rFonts w:cs="Times New Roman"/>
      </w:rPr>
    </w:lvl>
    <w:lvl w:ilvl="7" w:tplc="04150019">
      <w:start w:val="1"/>
      <w:numFmt w:val="lowerLetter"/>
      <w:lvlText w:val="%8."/>
      <w:lvlJc w:val="left"/>
      <w:pPr>
        <w:ind w:left="6120" w:hanging="360"/>
      </w:pPr>
      <w:rPr>
        <w:rFonts w:cs="Times New Roman"/>
      </w:rPr>
    </w:lvl>
    <w:lvl w:ilvl="8" w:tplc="0415001B">
      <w:start w:val="1"/>
      <w:numFmt w:val="lowerRoman"/>
      <w:lvlText w:val="%9."/>
      <w:lvlJc w:val="right"/>
      <w:pPr>
        <w:ind w:left="6840" w:hanging="180"/>
      </w:pPr>
      <w:rPr>
        <w:rFonts w:cs="Times New Roman"/>
      </w:rPr>
    </w:lvl>
  </w:abstractNum>
  <w:abstractNum w:abstractNumId="2" w15:restartNumberingAfterBreak="0">
    <w:nsid w:val="04027060"/>
    <w:multiLevelType w:val="hybridMultilevel"/>
    <w:tmpl w:val="D070FD64"/>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E62EB4"/>
    <w:multiLevelType w:val="hybridMultilevel"/>
    <w:tmpl w:val="72243F2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150B0D14"/>
    <w:multiLevelType w:val="hybridMultilevel"/>
    <w:tmpl w:val="C8FC2046"/>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940FD7"/>
    <w:multiLevelType w:val="hybridMultilevel"/>
    <w:tmpl w:val="D3D8C4E8"/>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E70355"/>
    <w:multiLevelType w:val="hybridMultilevel"/>
    <w:tmpl w:val="EDB25738"/>
    <w:lvl w:ilvl="0" w:tplc="78084BC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D126799"/>
    <w:multiLevelType w:val="hybridMultilevel"/>
    <w:tmpl w:val="5300B000"/>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04C4668"/>
    <w:multiLevelType w:val="hybridMultilevel"/>
    <w:tmpl w:val="AC4EAEE2"/>
    <w:lvl w:ilvl="0" w:tplc="04150017">
      <w:start w:val="1"/>
      <w:numFmt w:val="lowerLetter"/>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9" w15:restartNumberingAfterBreak="0">
    <w:nsid w:val="2243133B"/>
    <w:multiLevelType w:val="hybridMultilevel"/>
    <w:tmpl w:val="7FCE8050"/>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15:restartNumberingAfterBreak="0">
    <w:nsid w:val="23E8228F"/>
    <w:multiLevelType w:val="hybridMultilevel"/>
    <w:tmpl w:val="522A6A8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274C3622"/>
    <w:multiLevelType w:val="hybridMultilevel"/>
    <w:tmpl w:val="A6AED8A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2D861B1D"/>
    <w:multiLevelType w:val="hybridMultilevel"/>
    <w:tmpl w:val="A1388684"/>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1DF6D88"/>
    <w:multiLevelType w:val="hybridMultilevel"/>
    <w:tmpl w:val="0DB8A11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33197462"/>
    <w:multiLevelType w:val="hybridMultilevel"/>
    <w:tmpl w:val="B53EC4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B73DDA"/>
    <w:multiLevelType w:val="hybridMultilevel"/>
    <w:tmpl w:val="20605C2E"/>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8A37F0D"/>
    <w:multiLevelType w:val="hybridMultilevel"/>
    <w:tmpl w:val="C30E7100"/>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5F2CBA"/>
    <w:multiLevelType w:val="hybridMultilevel"/>
    <w:tmpl w:val="185834EA"/>
    <w:lvl w:ilvl="0" w:tplc="78084BC6">
      <w:start w:val="1"/>
      <w:numFmt w:val="bullet"/>
      <w:lvlText w:val=""/>
      <w:lvlJc w:val="left"/>
      <w:pPr>
        <w:ind w:left="1429" w:hanging="360"/>
      </w:pPr>
      <w:rPr>
        <w:rFonts w:ascii="Symbol" w:hAnsi="Symbol" w:hint="default"/>
      </w:rPr>
    </w:lvl>
    <w:lvl w:ilvl="1" w:tplc="04150003">
      <w:start w:val="1"/>
      <w:numFmt w:val="bullet"/>
      <w:lvlText w:val="o"/>
      <w:lvlJc w:val="left"/>
      <w:pPr>
        <w:ind w:left="2149" w:hanging="360"/>
      </w:pPr>
      <w:rPr>
        <w:rFonts w:ascii="Courier New" w:hAnsi="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9" w15:restartNumberingAfterBreak="0">
    <w:nsid w:val="42FA40CD"/>
    <w:multiLevelType w:val="hybridMultilevel"/>
    <w:tmpl w:val="5FB2C3E2"/>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65E458B"/>
    <w:multiLevelType w:val="hybridMultilevel"/>
    <w:tmpl w:val="6C8E1F5E"/>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90D4530"/>
    <w:multiLevelType w:val="hybridMultilevel"/>
    <w:tmpl w:val="1B34F098"/>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B6C444E"/>
    <w:multiLevelType w:val="hybridMultilevel"/>
    <w:tmpl w:val="B1DCD5F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5123769C"/>
    <w:multiLevelType w:val="hybridMultilevel"/>
    <w:tmpl w:val="3EEAE8B4"/>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31220CB"/>
    <w:multiLevelType w:val="hybridMultilevel"/>
    <w:tmpl w:val="ADD0B446"/>
    <w:lvl w:ilvl="0" w:tplc="78084BC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38F5CD9"/>
    <w:multiLevelType w:val="hybridMultilevel"/>
    <w:tmpl w:val="2E9094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46E56E5"/>
    <w:multiLevelType w:val="hybridMultilevel"/>
    <w:tmpl w:val="055A9FA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571E6DE1"/>
    <w:multiLevelType w:val="hybridMultilevel"/>
    <w:tmpl w:val="19345B6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5AC21826"/>
    <w:multiLevelType w:val="hybridMultilevel"/>
    <w:tmpl w:val="93C0C3BE"/>
    <w:lvl w:ilvl="0" w:tplc="2AE63F10">
      <w:start w:val="1"/>
      <w:numFmt w:val="decimal"/>
      <w:lvlText w:val="%1."/>
      <w:lvlJc w:val="left"/>
      <w:pPr>
        <w:ind w:left="786" w:hanging="360"/>
      </w:pPr>
      <w:rPr>
        <w:rFonts w:ascii="Times New Roman" w:eastAsia="Times New Roman" w:hAnsi="Times New Roman" w:cs="Times New Roman" w:hint="default"/>
        <w:b w:val="0"/>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5DA00D8B"/>
    <w:multiLevelType w:val="hybridMultilevel"/>
    <w:tmpl w:val="5C6C059E"/>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15:restartNumberingAfterBreak="0">
    <w:nsid w:val="61A65696"/>
    <w:multiLevelType w:val="hybridMultilevel"/>
    <w:tmpl w:val="4D5E891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646A13B2"/>
    <w:multiLevelType w:val="hybridMultilevel"/>
    <w:tmpl w:val="94FCFFE4"/>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15:restartNumberingAfterBreak="0">
    <w:nsid w:val="6DAD524C"/>
    <w:multiLevelType w:val="hybridMultilevel"/>
    <w:tmpl w:val="FB6A975E"/>
    <w:lvl w:ilvl="0" w:tplc="60029F3C">
      <w:start w:val="3"/>
      <w:numFmt w:val="bullet"/>
      <w:lvlText w:val="-"/>
      <w:lvlJc w:val="left"/>
      <w:pPr>
        <w:ind w:left="720" w:hanging="360"/>
      </w:pPr>
      <w:rPr>
        <w:rFonts w:ascii="Times New Roman" w:eastAsia="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773209EE"/>
    <w:multiLevelType w:val="hybridMultilevel"/>
    <w:tmpl w:val="E4AACF08"/>
    <w:lvl w:ilvl="0" w:tplc="293C2F82">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77A6710C"/>
    <w:multiLevelType w:val="hybridMultilevel"/>
    <w:tmpl w:val="BC0A4CDA"/>
    <w:lvl w:ilvl="0" w:tplc="BA04D89C">
      <w:start w:val="1"/>
      <w:numFmt w:val="decimal"/>
      <w:lvlText w:val="%1."/>
      <w:lvlJc w:val="left"/>
      <w:pPr>
        <w:ind w:left="720" w:hanging="360"/>
      </w:pPr>
      <w:rPr>
        <w:rFonts w:cs="Times New Roman"/>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379544799">
    <w:abstractNumId w:val="28"/>
  </w:num>
  <w:num w:numId="2" w16cid:durableId="1253129546">
    <w:abstractNumId w:val="16"/>
  </w:num>
  <w:num w:numId="3" w16cid:durableId="6604263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50856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2021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3602040">
    <w:abstractNumId w:val="33"/>
  </w:num>
  <w:num w:numId="7" w16cid:durableId="1024213807">
    <w:abstractNumId w:val="10"/>
  </w:num>
  <w:num w:numId="8" w16cid:durableId="5376407">
    <w:abstractNumId w:val="30"/>
  </w:num>
  <w:num w:numId="9" w16cid:durableId="479887337">
    <w:abstractNumId w:val="13"/>
  </w:num>
  <w:num w:numId="10" w16cid:durableId="2001082576">
    <w:abstractNumId w:val="3"/>
  </w:num>
  <w:num w:numId="11" w16cid:durableId="1130979598">
    <w:abstractNumId w:val="26"/>
  </w:num>
  <w:num w:numId="12" w16cid:durableId="1723286740">
    <w:abstractNumId w:val="22"/>
  </w:num>
  <w:num w:numId="13" w16cid:durableId="287854983">
    <w:abstractNumId w:val="27"/>
  </w:num>
  <w:num w:numId="14" w16cid:durableId="1593516263">
    <w:abstractNumId w:val="21"/>
  </w:num>
  <w:num w:numId="15" w16cid:durableId="730932437">
    <w:abstractNumId w:val="11"/>
  </w:num>
  <w:num w:numId="16" w16cid:durableId="1865903744">
    <w:abstractNumId w:val="18"/>
  </w:num>
  <w:num w:numId="17" w16cid:durableId="8681848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2119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4403339">
    <w:abstractNumId w:val="32"/>
  </w:num>
  <w:num w:numId="20" w16cid:durableId="1201212243">
    <w:abstractNumId w:val="1"/>
  </w:num>
  <w:num w:numId="21" w16cid:durableId="653681135">
    <w:abstractNumId w:val="9"/>
  </w:num>
  <w:num w:numId="22" w16cid:durableId="1590918188">
    <w:abstractNumId w:val="6"/>
  </w:num>
  <w:num w:numId="23" w16cid:durableId="377512500">
    <w:abstractNumId w:val="15"/>
  </w:num>
  <w:num w:numId="24" w16cid:durableId="130631704">
    <w:abstractNumId w:val="20"/>
  </w:num>
  <w:num w:numId="25" w16cid:durableId="467404246">
    <w:abstractNumId w:val="5"/>
  </w:num>
  <w:num w:numId="26" w16cid:durableId="1237714304">
    <w:abstractNumId w:val="4"/>
  </w:num>
  <w:num w:numId="27" w16cid:durableId="1123036230">
    <w:abstractNumId w:val="19"/>
  </w:num>
  <w:num w:numId="28" w16cid:durableId="2102872907">
    <w:abstractNumId w:val="12"/>
  </w:num>
  <w:num w:numId="29" w16cid:durableId="7753391">
    <w:abstractNumId w:val="2"/>
  </w:num>
  <w:num w:numId="30" w16cid:durableId="1872064367">
    <w:abstractNumId w:val="7"/>
  </w:num>
  <w:num w:numId="31" w16cid:durableId="1490515522">
    <w:abstractNumId w:val="24"/>
  </w:num>
  <w:num w:numId="32" w16cid:durableId="1865361117">
    <w:abstractNumId w:val="0"/>
  </w:num>
  <w:num w:numId="33" w16cid:durableId="2025396554">
    <w:abstractNumId w:val="14"/>
  </w:num>
  <w:num w:numId="34" w16cid:durableId="636376535">
    <w:abstractNumId w:val="23"/>
  </w:num>
  <w:num w:numId="35" w16cid:durableId="2030450237">
    <w:abstractNumId w:val="25"/>
  </w:num>
  <w:num w:numId="36" w16cid:durableId="1893271343">
    <w:abstractNumId w:val="17"/>
  </w:num>
  <w:num w:numId="37" w16cid:durableId="18611232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82D"/>
    <w:rsid w:val="00002257"/>
    <w:rsid w:val="00003454"/>
    <w:rsid w:val="00003BD7"/>
    <w:rsid w:val="00004140"/>
    <w:rsid w:val="00004D08"/>
    <w:rsid w:val="000058F4"/>
    <w:rsid w:val="000063DE"/>
    <w:rsid w:val="00010C2C"/>
    <w:rsid w:val="000111D7"/>
    <w:rsid w:val="00013103"/>
    <w:rsid w:val="0001390B"/>
    <w:rsid w:val="000160DB"/>
    <w:rsid w:val="00016468"/>
    <w:rsid w:val="00020170"/>
    <w:rsid w:val="0002048A"/>
    <w:rsid w:val="00020B68"/>
    <w:rsid w:val="00020EF4"/>
    <w:rsid w:val="00021283"/>
    <w:rsid w:val="0002175E"/>
    <w:rsid w:val="000221B5"/>
    <w:rsid w:val="000225E2"/>
    <w:rsid w:val="00022F62"/>
    <w:rsid w:val="00023501"/>
    <w:rsid w:val="00024EF4"/>
    <w:rsid w:val="00025B43"/>
    <w:rsid w:val="00026EDD"/>
    <w:rsid w:val="00030294"/>
    <w:rsid w:val="0003062F"/>
    <w:rsid w:val="00030B0B"/>
    <w:rsid w:val="0003380F"/>
    <w:rsid w:val="00033FD4"/>
    <w:rsid w:val="00034B57"/>
    <w:rsid w:val="00034FC4"/>
    <w:rsid w:val="00035604"/>
    <w:rsid w:val="00035783"/>
    <w:rsid w:val="00036947"/>
    <w:rsid w:val="00037B7A"/>
    <w:rsid w:val="00040DA8"/>
    <w:rsid w:val="00041320"/>
    <w:rsid w:val="00042EF1"/>
    <w:rsid w:val="00043B8F"/>
    <w:rsid w:val="000459E7"/>
    <w:rsid w:val="00045B24"/>
    <w:rsid w:val="00045B4D"/>
    <w:rsid w:val="00047D33"/>
    <w:rsid w:val="0005057E"/>
    <w:rsid w:val="00050759"/>
    <w:rsid w:val="000508FB"/>
    <w:rsid w:val="00050AFD"/>
    <w:rsid w:val="00051150"/>
    <w:rsid w:val="000512AE"/>
    <w:rsid w:val="00051901"/>
    <w:rsid w:val="000527A8"/>
    <w:rsid w:val="00052AA9"/>
    <w:rsid w:val="000534AB"/>
    <w:rsid w:val="00054D9C"/>
    <w:rsid w:val="000554D9"/>
    <w:rsid w:val="00055A68"/>
    <w:rsid w:val="0006075F"/>
    <w:rsid w:val="00061A17"/>
    <w:rsid w:val="00061BEB"/>
    <w:rsid w:val="00062C47"/>
    <w:rsid w:val="00063D6A"/>
    <w:rsid w:val="0006419B"/>
    <w:rsid w:val="00064CA7"/>
    <w:rsid w:val="0006554D"/>
    <w:rsid w:val="00065B71"/>
    <w:rsid w:val="00066AFD"/>
    <w:rsid w:val="000709EF"/>
    <w:rsid w:val="00074AE8"/>
    <w:rsid w:val="00074EB3"/>
    <w:rsid w:val="00077551"/>
    <w:rsid w:val="0008018D"/>
    <w:rsid w:val="00081423"/>
    <w:rsid w:val="000818AF"/>
    <w:rsid w:val="00083261"/>
    <w:rsid w:val="00083E50"/>
    <w:rsid w:val="000840FA"/>
    <w:rsid w:val="00084BCD"/>
    <w:rsid w:val="00086182"/>
    <w:rsid w:val="00091A54"/>
    <w:rsid w:val="00092E10"/>
    <w:rsid w:val="000935C0"/>
    <w:rsid w:val="000947E6"/>
    <w:rsid w:val="00095D3E"/>
    <w:rsid w:val="0009637F"/>
    <w:rsid w:val="000A0FDF"/>
    <w:rsid w:val="000A1DE3"/>
    <w:rsid w:val="000A40B4"/>
    <w:rsid w:val="000A44E2"/>
    <w:rsid w:val="000A4ADE"/>
    <w:rsid w:val="000A717F"/>
    <w:rsid w:val="000A7C0F"/>
    <w:rsid w:val="000B167A"/>
    <w:rsid w:val="000B1DC2"/>
    <w:rsid w:val="000B1FA5"/>
    <w:rsid w:val="000B2199"/>
    <w:rsid w:val="000B2E2E"/>
    <w:rsid w:val="000B4499"/>
    <w:rsid w:val="000B51B5"/>
    <w:rsid w:val="000B62CB"/>
    <w:rsid w:val="000B7367"/>
    <w:rsid w:val="000B769D"/>
    <w:rsid w:val="000C1C3A"/>
    <w:rsid w:val="000C4C9B"/>
    <w:rsid w:val="000C54D8"/>
    <w:rsid w:val="000D0FB3"/>
    <w:rsid w:val="000D4340"/>
    <w:rsid w:val="000D5DEA"/>
    <w:rsid w:val="000E1848"/>
    <w:rsid w:val="000E33FE"/>
    <w:rsid w:val="000E45BA"/>
    <w:rsid w:val="000E47C3"/>
    <w:rsid w:val="000E54AC"/>
    <w:rsid w:val="000E57CC"/>
    <w:rsid w:val="000E5EC6"/>
    <w:rsid w:val="000E6E46"/>
    <w:rsid w:val="000F3592"/>
    <w:rsid w:val="000F3FC2"/>
    <w:rsid w:val="000F4A4B"/>
    <w:rsid w:val="000F6057"/>
    <w:rsid w:val="000F638F"/>
    <w:rsid w:val="000F69A2"/>
    <w:rsid w:val="00100E93"/>
    <w:rsid w:val="00103CF2"/>
    <w:rsid w:val="00105137"/>
    <w:rsid w:val="00105566"/>
    <w:rsid w:val="0010700D"/>
    <w:rsid w:val="00107D43"/>
    <w:rsid w:val="001112C6"/>
    <w:rsid w:val="0011320E"/>
    <w:rsid w:val="00113BDB"/>
    <w:rsid w:val="00114779"/>
    <w:rsid w:val="00122654"/>
    <w:rsid w:val="0012523C"/>
    <w:rsid w:val="00125368"/>
    <w:rsid w:val="00133B03"/>
    <w:rsid w:val="00136B93"/>
    <w:rsid w:val="001442F6"/>
    <w:rsid w:val="00144A1F"/>
    <w:rsid w:val="00144F8B"/>
    <w:rsid w:val="001459F4"/>
    <w:rsid w:val="00146A11"/>
    <w:rsid w:val="0015055D"/>
    <w:rsid w:val="0015262A"/>
    <w:rsid w:val="001541CF"/>
    <w:rsid w:val="00154EBA"/>
    <w:rsid w:val="00156D6F"/>
    <w:rsid w:val="00160342"/>
    <w:rsid w:val="00160D42"/>
    <w:rsid w:val="0016285E"/>
    <w:rsid w:val="001629D6"/>
    <w:rsid w:val="00163548"/>
    <w:rsid w:val="00163BA2"/>
    <w:rsid w:val="00165446"/>
    <w:rsid w:val="00166BF9"/>
    <w:rsid w:val="00171DF9"/>
    <w:rsid w:val="0017278A"/>
    <w:rsid w:val="001728C5"/>
    <w:rsid w:val="00172DDF"/>
    <w:rsid w:val="0017372E"/>
    <w:rsid w:val="00180376"/>
    <w:rsid w:val="00180EB0"/>
    <w:rsid w:val="001812FF"/>
    <w:rsid w:val="001816E9"/>
    <w:rsid w:val="00182625"/>
    <w:rsid w:val="00183413"/>
    <w:rsid w:val="00184E8F"/>
    <w:rsid w:val="00185B2E"/>
    <w:rsid w:val="00186E3A"/>
    <w:rsid w:val="00187AC3"/>
    <w:rsid w:val="0019055D"/>
    <w:rsid w:val="001924AB"/>
    <w:rsid w:val="00192588"/>
    <w:rsid w:val="00194672"/>
    <w:rsid w:val="00194C8E"/>
    <w:rsid w:val="00196210"/>
    <w:rsid w:val="001963BB"/>
    <w:rsid w:val="00196886"/>
    <w:rsid w:val="00196A64"/>
    <w:rsid w:val="001976AC"/>
    <w:rsid w:val="001A0047"/>
    <w:rsid w:val="001A0EBD"/>
    <w:rsid w:val="001A14CB"/>
    <w:rsid w:val="001A4746"/>
    <w:rsid w:val="001A4B60"/>
    <w:rsid w:val="001B0416"/>
    <w:rsid w:val="001B04A9"/>
    <w:rsid w:val="001B0B1B"/>
    <w:rsid w:val="001B16B1"/>
    <w:rsid w:val="001B40CF"/>
    <w:rsid w:val="001B4ED2"/>
    <w:rsid w:val="001B5775"/>
    <w:rsid w:val="001B5BDF"/>
    <w:rsid w:val="001B5C0A"/>
    <w:rsid w:val="001B738C"/>
    <w:rsid w:val="001C1371"/>
    <w:rsid w:val="001C1395"/>
    <w:rsid w:val="001C26BE"/>
    <w:rsid w:val="001C29AA"/>
    <w:rsid w:val="001C32F3"/>
    <w:rsid w:val="001C508A"/>
    <w:rsid w:val="001D1968"/>
    <w:rsid w:val="001D1ADF"/>
    <w:rsid w:val="001D250D"/>
    <w:rsid w:val="001D281E"/>
    <w:rsid w:val="001D3B22"/>
    <w:rsid w:val="001D45E6"/>
    <w:rsid w:val="001D6E0D"/>
    <w:rsid w:val="001E1788"/>
    <w:rsid w:val="001E2EFF"/>
    <w:rsid w:val="001E3752"/>
    <w:rsid w:val="001E3803"/>
    <w:rsid w:val="001E4755"/>
    <w:rsid w:val="001E62EF"/>
    <w:rsid w:val="001F0B65"/>
    <w:rsid w:val="001F50BD"/>
    <w:rsid w:val="001F544B"/>
    <w:rsid w:val="001F75A6"/>
    <w:rsid w:val="00201AD9"/>
    <w:rsid w:val="0020305C"/>
    <w:rsid w:val="00204A5F"/>
    <w:rsid w:val="002058FF"/>
    <w:rsid w:val="0020608F"/>
    <w:rsid w:val="00207D36"/>
    <w:rsid w:val="002103D3"/>
    <w:rsid w:val="0021160B"/>
    <w:rsid w:val="00213C1A"/>
    <w:rsid w:val="002154AD"/>
    <w:rsid w:val="00216747"/>
    <w:rsid w:val="00216FCE"/>
    <w:rsid w:val="00217094"/>
    <w:rsid w:val="00217925"/>
    <w:rsid w:val="002205CB"/>
    <w:rsid w:val="002205EA"/>
    <w:rsid w:val="002216E3"/>
    <w:rsid w:val="002231F6"/>
    <w:rsid w:val="002248B6"/>
    <w:rsid w:val="00225589"/>
    <w:rsid w:val="002258F5"/>
    <w:rsid w:val="002261E5"/>
    <w:rsid w:val="002279FE"/>
    <w:rsid w:val="00230187"/>
    <w:rsid w:val="002339CC"/>
    <w:rsid w:val="00234AF0"/>
    <w:rsid w:val="00234FC0"/>
    <w:rsid w:val="00237C02"/>
    <w:rsid w:val="00240E1B"/>
    <w:rsid w:val="002410C6"/>
    <w:rsid w:val="002424D4"/>
    <w:rsid w:val="00245809"/>
    <w:rsid w:val="00250D57"/>
    <w:rsid w:val="00250D63"/>
    <w:rsid w:val="00251AF4"/>
    <w:rsid w:val="00252F6A"/>
    <w:rsid w:val="00253498"/>
    <w:rsid w:val="0025681C"/>
    <w:rsid w:val="00261490"/>
    <w:rsid w:val="00261A8A"/>
    <w:rsid w:val="00263A10"/>
    <w:rsid w:val="00265050"/>
    <w:rsid w:val="00265282"/>
    <w:rsid w:val="00265E53"/>
    <w:rsid w:val="00273D3B"/>
    <w:rsid w:val="00274C28"/>
    <w:rsid w:val="0027695B"/>
    <w:rsid w:val="00282BFD"/>
    <w:rsid w:val="00284597"/>
    <w:rsid w:val="00290749"/>
    <w:rsid w:val="00290F8D"/>
    <w:rsid w:val="002920CA"/>
    <w:rsid w:val="0029295E"/>
    <w:rsid w:val="002946A2"/>
    <w:rsid w:val="00294D72"/>
    <w:rsid w:val="00295211"/>
    <w:rsid w:val="00296355"/>
    <w:rsid w:val="00297FFA"/>
    <w:rsid w:val="002A1048"/>
    <w:rsid w:val="002A2268"/>
    <w:rsid w:val="002A42B2"/>
    <w:rsid w:val="002A58BB"/>
    <w:rsid w:val="002A5A4E"/>
    <w:rsid w:val="002B0575"/>
    <w:rsid w:val="002B0E51"/>
    <w:rsid w:val="002B2032"/>
    <w:rsid w:val="002B2B45"/>
    <w:rsid w:val="002B3391"/>
    <w:rsid w:val="002B36D8"/>
    <w:rsid w:val="002B7581"/>
    <w:rsid w:val="002C1A17"/>
    <w:rsid w:val="002C24FC"/>
    <w:rsid w:val="002C474C"/>
    <w:rsid w:val="002C5B3F"/>
    <w:rsid w:val="002C6BB7"/>
    <w:rsid w:val="002C7BCB"/>
    <w:rsid w:val="002C7FE7"/>
    <w:rsid w:val="002D0271"/>
    <w:rsid w:val="002D042B"/>
    <w:rsid w:val="002D1186"/>
    <w:rsid w:val="002D124C"/>
    <w:rsid w:val="002D19FB"/>
    <w:rsid w:val="002D3ED3"/>
    <w:rsid w:val="002D7778"/>
    <w:rsid w:val="002D79C6"/>
    <w:rsid w:val="002E0427"/>
    <w:rsid w:val="002E04ED"/>
    <w:rsid w:val="002E20A1"/>
    <w:rsid w:val="002E2882"/>
    <w:rsid w:val="002E298A"/>
    <w:rsid w:val="002E2C00"/>
    <w:rsid w:val="002E33BC"/>
    <w:rsid w:val="002E3D80"/>
    <w:rsid w:val="002E48F9"/>
    <w:rsid w:val="002E5C2C"/>
    <w:rsid w:val="002E78D9"/>
    <w:rsid w:val="002F0C2A"/>
    <w:rsid w:val="002F14A6"/>
    <w:rsid w:val="002F3559"/>
    <w:rsid w:val="002F3F03"/>
    <w:rsid w:val="002F7ABA"/>
    <w:rsid w:val="003003A9"/>
    <w:rsid w:val="00301AC4"/>
    <w:rsid w:val="0030236A"/>
    <w:rsid w:val="00302929"/>
    <w:rsid w:val="003039E8"/>
    <w:rsid w:val="003052AE"/>
    <w:rsid w:val="00310103"/>
    <w:rsid w:val="00310B7D"/>
    <w:rsid w:val="003117CF"/>
    <w:rsid w:val="003119F5"/>
    <w:rsid w:val="003125D5"/>
    <w:rsid w:val="0031459A"/>
    <w:rsid w:val="00315DA0"/>
    <w:rsid w:val="003164A1"/>
    <w:rsid w:val="0031738E"/>
    <w:rsid w:val="0032106C"/>
    <w:rsid w:val="00322594"/>
    <w:rsid w:val="00323515"/>
    <w:rsid w:val="00324C3E"/>
    <w:rsid w:val="00324F48"/>
    <w:rsid w:val="00326208"/>
    <w:rsid w:val="003269E4"/>
    <w:rsid w:val="00330499"/>
    <w:rsid w:val="00331928"/>
    <w:rsid w:val="003338B1"/>
    <w:rsid w:val="003341BE"/>
    <w:rsid w:val="003346A3"/>
    <w:rsid w:val="00334D23"/>
    <w:rsid w:val="003350F0"/>
    <w:rsid w:val="003351A0"/>
    <w:rsid w:val="00337274"/>
    <w:rsid w:val="00340974"/>
    <w:rsid w:val="00340A95"/>
    <w:rsid w:val="0034270B"/>
    <w:rsid w:val="003433AD"/>
    <w:rsid w:val="003444FC"/>
    <w:rsid w:val="003463DF"/>
    <w:rsid w:val="00350587"/>
    <w:rsid w:val="00350B9F"/>
    <w:rsid w:val="00350E8D"/>
    <w:rsid w:val="00351A0F"/>
    <w:rsid w:val="0035362D"/>
    <w:rsid w:val="003537FD"/>
    <w:rsid w:val="00360A93"/>
    <w:rsid w:val="00360F99"/>
    <w:rsid w:val="00361C8E"/>
    <w:rsid w:val="00361EB7"/>
    <w:rsid w:val="003629AA"/>
    <w:rsid w:val="00362F81"/>
    <w:rsid w:val="0036411C"/>
    <w:rsid w:val="00364B1D"/>
    <w:rsid w:val="00365122"/>
    <w:rsid w:val="0036578A"/>
    <w:rsid w:val="00366B69"/>
    <w:rsid w:val="00366C81"/>
    <w:rsid w:val="00367574"/>
    <w:rsid w:val="00367C79"/>
    <w:rsid w:val="0037010F"/>
    <w:rsid w:val="00372CE6"/>
    <w:rsid w:val="00373676"/>
    <w:rsid w:val="00381582"/>
    <w:rsid w:val="00383A13"/>
    <w:rsid w:val="00386431"/>
    <w:rsid w:val="00387C73"/>
    <w:rsid w:val="00390454"/>
    <w:rsid w:val="00393AB2"/>
    <w:rsid w:val="0039445F"/>
    <w:rsid w:val="003A33FA"/>
    <w:rsid w:val="003A3D02"/>
    <w:rsid w:val="003A3D9E"/>
    <w:rsid w:val="003A5355"/>
    <w:rsid w:val="003A5DC6"/>
    <w:rsid w:val="003B01DB"/>
    <w:rsid w:val="003B0C69"/>
    <w:rsid w:val="003B3542"/>
    <w:rsid w:val="003B4DEB"/>
    <w:rsid w:val="003B500D"/>
    <w:rsid w:val="003C0C34"/>
    <w:rsid w:val="003C14EB"/>
    <w:rsid w:val="003C1A06"/>
    <w:rsid w:val="003C1A9E"/>
    <w:rsid w:val="003C2837"/>
    <w:rsid w:val="003C28AA"/>
    <w:rsid w:val="003C4F1A"/>
    <w:rsid w:val="003D09EB"/>
    <w:rsid w:val="003D1A48"/>
    <w:rsid w:val="003D396A"/>
    <w:rsid w:val="003E0AB3"/>
    <w:rsid w:val="003E1C7D"/>
    <w:rsid w:val="003E3002"/>
    <w:rsid w:val="003E40EF"/>
    <w:rsid w:val="003E49DC"/>
    <w:rsid w:val="003E4FAA"/>
    <w:rsid w:val="003E7D67"/>
    <w:rsid w:val="003E7DC0"/>
    <w:rsid w:val="003F0479"/>
    <w:rsid w:val="003F14B1"/>
    <w:rsid w:val="003F3638"/>
    <w:rsid w:val="003F414A"/>
    <w:rsid w:val="003F44AB"/>
    <w:rsid w:val="003F5B25"/>
    <w:rsid w:val="003F64DC"/>
    <w:rsid w:val="003F7884"/>
    <w:rsid w:val="0040219E"/>
    <w:rsid w:val="004024BB"/>
    <w:rsid w:val="004028AA"/>
    <w:rsid w:val="00402DCF"/>
    <w:rsid w:val="00403933"/>
    <w:rsid w:val="00404C7F"/>
    <w:rsid w:val="00404F98"/>
    <w:rsid w:val="00406485"/>
    <w:rsid w:val="004070F3"/>
    <w:rsid w:val="00407686"/>
    <w:rsid w:val="004125FB"/>
    <w:rsid w:val="00412923"/>
    <w:rsid w:val="004139CA"/>
    <w:rsid w:val="00413AB3"/>
    <w:rsid w:val="00413B96"/>
    <w:rsid w:val="00413EC8"/>
    <w:rsid w:val="004143DA"/>
    <w:rsid w:val="004201BF"/>
    <w:rsid w:val="0042617B"/>
    <w:rsid w:val="004262E6"/>
    <w:rsid w:val="004316F8"/>
    <w:rsid w:val="004321DD"/>
    <w:rsid w:val="004327C9"/>
    <w:rsid w:val="004333C6"/>
    <w:rsid w:val="00434650"/>
    <w:rsid w:val="00435729"/>
    <w:rsid w:val="00435736"/>
    <w:rsid w:val="00435FF6"/>
    <w:rsid w:val="00440C9A"/>
    <w:rsid w:val="00441A5B"/>
    <w:rsid w:val="00441B2A"/>
    <w:rsid w:val="00443927"/>
    <w:rsid w:val="004443DA"/>
    <w:rsid w:val="004453D9"/>
    <w:rsid w:val="004467BB"/>
    <w:rsid w:val="00452F15"/>
    <w:rsid w:val="00453696"/>
    <w:rsid w:val="00454B95"/>
    <w:rsid w:val="00456614"/>
    <w:rsid w:val="00456A36"/>
    <w:rsid w:val="00456FCC"/>
    <w:rsid w:val="00457217"/>
    <w:rsid w:val="004611CB"/>
    <w:rsid w:val="00462F07"/>
    <w:rsid w:val="004641EF"/>
    <w:rsid w:val="0046781D"/>
    <w:rsid w:val="00470427"/>
    <w:rsid w:val="00471D9E"/>
    <w:rsid w:val="00473E30"/>
    <w:rsid w:val="00476A8C"/>
    <w:rsid w:val="00476D4E"/>
    <w:rsid w:val="00477CEA"/>
    <w:rsid w:val="00483498"/>
    <w:rsid w:val="0048675F"/>
    <w:rsid w:val="004868DD"/>
    <w:rsid w:val="00486A3F"/>
    <w:rsid w:val="004927C3"/>
    <w:rsid w:val="00494BB2"/>
    <w:rsid w:val="0049601D"/>
    <w:rsid w:val="00497082"/>
    <w:rsid w:val="004A0C38"/>
    <w:rsid w:val="004A2EFF"/>
    <w:rsid w:val="004A330B"/>
    <w:rsid w:val="004A4C13"/>
    <w:rsid w:val="004A6119"/>
    <w:rsid w:val="004A74DF"/>
    <w:rsid w:val="004B008D"/>
    <w:rsid w:val="004B254A"/>
    <w:rsid w:val="004B3D2C"/>
    <w:rsid w:val="004B51E5"/>
    <w:rsid w:val="004B7076"/>
    <w:rsid w:val="004B7393"/>
    <w:rsid w:val="004C07A5"/>
    <w:rsid w:val="004C09E7"/>
    <w:rsid w:val="004C186C"/>
    <w:rsid w:val="004C281D"/>
    <w:rsid w:val="004C61A6"/>
    <w:rsid w:val="004C799E"/>
    <w:rsid w:val="004C79C6"/>
    <w:rsid w:val="004D058C"/>
    <w:rsid w:val="004D1D6F"/>
    <w:rsid w:val="004D452B"/>
    <w:rsid w:val="004D4DD0"/>
    <w:rsid w:val="004D600D"/>
    <w:rsid w:val="004D6D09"/>
    <w:rsid w:val="004E25CB"/>
    <w:rsid w:val="004E31A1"/>
    <w:rsid w:val="004E54D7"/>
    <w:rsid w:val="004E5A68"/>
    <w:rsid w:val="004E6973"/>
    <w:rsid w:val="004E6B3E"/>
    <w:rsid w:val="004E7D6B"/>
    <w:rsid w:val="004F0571"/>
    <w:rsid w:val="004F0B8B"/>
    <w:rsid w:val="004F0DD2"/>
    <w:rsid w:val="004F1CA7"/>
    <w:rsid w:val="004F251F"/>
    <w:rsid w:val="004F2D34"/>
    <w:rsid w:val="004F4525"/>
    <w:rsid w:val="004F47EF"/>
    <w:rsid w:val="004F4FF5"/>
    <w:rsid w:val="004F6BCE"/>
    <w:rsid w:val="004F7037"/>
    <w:rsid w:val="0050131E"/>
    <w:rsid w:val="00502614"/>
    <w:rsid w:val="00502976"/>
    <w:rsid w:val="00506010"/>
    <w:rsid w:val="005070E9"/>
    <w:rsid w:val="00510062"/>
    <w:rsid w:val="00510307"/>
    <w:rsid w:val="00513121"/>
    <w:rsid w:val="00516AF9"/>
    <w:rsid w:val="00521216"/>
    <w:rsid w:val="00522D51"/>
    <w:rsid w:val="0052328A"/>
    <w:rsid w:val="0052370B"/>
    <w:rsid w:val="0052586C"/>
    <w:rsid w:val="00525D07"/>
    <w:rsid w:val="005263F6"/>
    <w:rsid w:val="00526A85"/>
    <w:rsid w:val="00533301"/>
    <w:rsid w:val="005333D8"/>
    <w:rsid w:val="00535D5B"/>
    <w:rsid w:val="005366A0"/>
    <w:rsid w:val="005377CA"/>
    <w:rsid w:val="00545537"/>
    <w:rsid w:val="00545F70"/>
    <w:rsid w:val="00546902"/>
    <w:rsid w:val="0055000F"/>
    <w:rsid w:val="005509F4"/>
    <w:rsid w:val="00552DE5"/>
    <w:rsid w:val="00552F7B"/>
    <w:rsid w:val="00554544"/>
    <w:rsid w:val="0055750A"/>
    <w:rsid w:val="005576EE"/>
    <w:rsid w:val="00557CEF"/>
    <w:rsid w:val="00560D9F"/>
    <w:rsid w:val="00562DD0"/>
    <w:rsid w:val="00562FCD"/>
    <w:rsid w:val="0056465F"/>
    <w:rsid w:val="0056499D"/>
    <w:rsid w:val="00570474"/>
    <w:rsid w:val="00572BC9"/>
    <w:rsid w:val="00573834"/>
    <w:rsid w:val="005738E0"/>
    <w:rsid w:val="005755B3"/>
    <w:rsid w:val="0058130E"/>
    <w:rsid w:val="00581E37"/>
    <w:rsid w:val="005820DA"/>
    <w:rsid w:val="0058503A"/>
    <w:rsid w:val="005860B6"/>
    <w:rsid w:val="00586484"/>
    <w:rsid w:val="00587B68"/>
    <w:rsid w:val="00591C09"/>
    <w:rsid w:val="00592450"/>
    <w:rsid w:val="005926D9"/>
    <w:rsid w:val="00596EFB"/>
    <w:rsid w:val="005A1AD3"/>
    <w:rsid w:val="005A3019"/>
    <w:rsid w:val="005A3A88"/>
    <w:rsid w:val="005A46F5"/>
    <w:rsid w:val="005A6A8A"/>
    <w:rsid w:val="005B0AE3"/>
    <w:rsid w:val="005B15CF"/>
    <w:rsid w:val="005B2351"/>
    <w:rsid w:val="005B25D1"/>
    <w:rsid w:val="005B28D6"/>
    <w:rsid w:val="005B43AC"/>
    <w:rsid w:val="005B5CB1"/>
    <w:rsid w:val="005B6D6A"/>
    <w:rsid w:val="005B7CB2"/>
    <w:rsid w:val="005C0714"/>
    <w:rsid w:val="005C0D7D"/>
    <w:rsid w:val="005C15EB"/>
    <w:rsid w:val="005C1839"/>
    <w:rsid w:val="005C1E91"/>
    <w:rsid w:val="005C2D57"/>
    <w:rsid w:val="005C3A3D"/>
    <w:rsid w:val="005C508D"/>
    <w:rsid w:val="005C7F36"/>
    <w:rsid w:val="005D0622"/>
    <w:rsid w:val="005D1121"/>
    <w:rsid w:val="005D1475"/>
    <w:rsid w:val="005D1A0A"/>
    <w:rsid w:val="005D21F9"/>
    <w:rsid w:val="005D254F"/>
    <w:rsid w:val="005D3985"/>
    <w:rsid w:val="005D7BAF"/>
    <w:rsid w:val="005E1CBF"/>
    <w:rsid w:val="005E2EB6"/>
    <w:rsid w:val="005E4B51"/>
    <w:rsid w:val="005E7AC8"/>
    <w:rsid w:val="005E7D21"/>
    <w:rsid w:val="005F2FB7"/>
    <w:rsid w:val="005F3653"/>
    <w:rsid w:val="005F3749"/>
    <w:rsid w:val="005F3DE5"/>
    <w:rsid w:val="005F587E"/>
    <w:rsid w:val="005F5CD2"/>
    <w:rsid w:val="005F620E"/>
    <w:rsid w:val="005F757F"/>
    <w:rsid w:val="005F7ADE"/>
    <w:rsid w:val="005F7F84"/>
    <w:rsid w:val="00600B0F"/>
    <w:rsid w:val="0060268C"/>
    <w:rsid w:val="00604FD7"/>
    <w:rsid w:val="00606674"/>
    <w:rsid w:val="00607634"/>
    <w:rsid w:val="00607C70"/>
    <w:rsid w:val="0061015A"/>
    <w:rsid w:val="00613B52"/>
    <w:rsid w:val="00613C4D"/>
    <w:rsid w:val="006164E2"/>
    <w:rsid w:val="006170F6"/>
    <w:rsid w:val="006207C1"/>
    <w:rsid w:val="00620C17"/>
    <w:rsid w:val="006231C2"/>
    <w:rsid w:val="0062382F"/>
    <w:rsid w:val="00626A9B"/>
    <w:rsid w:val="00626C58"/>
    <w:rsid w:val="00631207"/>
    <w:rsid w:val="006319E8"/>
    <w:rsid w:val="00631ABD"/>
    <w:rsid w:val="006362E8"/>
    <w:rsid w:val="006401D6"/>
    <w:rsid w:val="006405D3"/>
    <w:rsid w:val="006408AF"/>
    <w:rsid w:val="00641937"/>
    <w:rsid w:val="00642053"/>
    <w:rsid w:val="00642E5D"/>
    <w:rsid w:val="00645610"/>
    <w:rsid w:val="00647096"/>
    <w:rsid w:val="00647342"/>
    <w:rsid w:val="00650E46"/>
    <w:rsid w:val="0065174D"/>
    <w:rsid w:val="0065314A"/>
    <w:rsid w:val="00653BD6"/>
    <w:rsid w:val="006545DB"/>
    <w:rsid w:val="00655674"/>
    <w:rsid w:val="00655FFF"/>
    <w:rsid w:val="00657454"/>
    <w:rsid w:val="006575C1"/>
    <w:rsid w:val="00660B13"/>
    <w:rsid w:val="00660DC0"/>
    <w:rsid w:val="00661DF0"/>
    <w:rsid w:val="006624B2"/>
    <w:rsid w:val="00664221"/>
    <w:rsid w:val="0066458B"/>
    <w:rsid w:val="006645FE"/>
    <w:rsid w:val="00666AB7"/>
    <w:rsid w:val="00670FF2"/>
    <w:rsid w:val="0067102A"/>
    <w:rsid w:val="006714F6"/>
    <w:rsid w:val="006717A0"/>
    <w:rsid w:val="00671D3A"/>
    <w:rsid w:val="00672A9D"/>
    <w:rsid w:val="0067331F"/>
    <w:rsid w:val="00674234"/>
    <w:rsid w:val="00676D32"/>
    <w:rsid w:val="006779F5"/>
    <w:rsid w:val="00680065"/>
    <w:rsid w:val="00681C13"/>
    <w:rsid w:val="00687B24"/>
    <w:rsid w:val="00691206"/>
    <w:rsid w:val="006935D2"/>
    <w:rsid w:val="006947B8"/>
    <w:rsid w:val="00695E0F"/>
    <w:rsid w:val="00695EBE"/>
    <w:rsid w:val="0069787E"/>
    <w:rsid w:val="006A00D1"/>
    <w:rsid w:val="006A49EE"/>
    <w:rsid w:val="006A4ED9"/>
    <w:rsid w:val="006A5E6F"/>
    <w:rsid w:val="006A60AE"/>
    <w:rsid w:val="006A72C2"/>
    <w:rsid w:val="006B0FDF"/>
    <w:rsid w:val="006B4120"/>
    <w:rsid w:val="006B4566"/>
    <w:rsid w:val="006B4916"/>
    <w:rsid w:val="006B507C"/>
    <w:rsid w:val="006B7296"/>
    <w:rsid w:val="006B7537"/>
    <w:rsid w:val="006C03AA"/>
    <w:rsid w:val="006C2CAD"/>
    <w:rsid w:val="006C3C52"/>
    <w:rsid w:val="006C3E99"/>
    <w:rsid w:val="006C4B8F"/>
    <w:rsid w:val="006C7256"/>
    <w:rsid w:val="006C73EF"/>
    <w:rsid w:val="006D07C4"/>
    <w:rsid w:val="006D391D"/>
    <w:rsid w:val="006D3C8D"/>
    <w:rsid w:val="006D5CC8"/>
    <w:rsid w:val="006D7CF6"/>
    <w:rsid w:val="006D7E79"/>
    <w:rsid w:val="006D7E9E"/>
    <w:rsid w:val="006E2195"/>
    <w:rsid w:val="006E430C"/>
    <w:rsid w:val="006E4C92"/>
    <w:rsid w:val="006E4D8B"/>
    <w:rsid w:val="006E521B"/>
    <w:rsid w:val="006E6806"/>
    <w:rsid w:val="006E6C89"/>
    <w:rsid w:val="006E7CC4"/>
    <w:rsid w:val="006E7FFA"/>
    <w:rsid w:val="006F034E"/>
    <w:rsid w:val="006F19F2"/>
    <w:rsid w:val="006F1BBC"/>
    <w:rsid w:val="006F3C76"/>
    <w:rsid w:val="006F40FB"/>
    <w:rsid w:val="006F54F1"/>
    <w:rsid w:val="006F59B1"/>
    <w:rsid w:val="006F60A2"/>
    <w:rsid w:val="006F714E"/>
    <w:rsid w:val="00700014"/>
    <w:rsid w:val="00700332"/>
    <w:rsid w:val="00706675"/>
    <w:rsid w:val="007071B3"/>
    <w:rsid w:val="007147F1"/>
    <w:rsid w:val="00715697"/>
    <w:rsid w:val="00717075"/>
    <w:rsid w:val="00721E10"/>
    <w:rsid w:val="00722320"/>
    <w:rsid w:val="0072366B"/>
    <w:rsid w:val="00724A27"/>
    <w:rsid w:val="00725D56"/>
    <w:rsid w:val="007265C5"/>
    <w:rsid w:val="007301A6"/>
    <w:rsid w:val="00731129"/>
    <w:rsid w:val="00732360"/>
    <w:rsid w:val="00732793"/>
    <w:rsid w:val="007377CA"/>
    <w:rsid w:val="00740FBB"/>
    <w:rsid w:val="007429F9"/>
    <w:rsid w:val="00743B04"/>
    <w:rsid w:val="00744A74"/>
    <w:rsid w:val="007462FD"/>
    <w:rsid w:val="007464BA"/>
    <w:rsid w:val="00747DB9"/>
    <w:rsid w:val="007507EF"/>
    <w:rsid w:val="00751A6D"/>
    <w:rsid w:val="00755816"/>
    <w:rsid w:val="00757998"/>
    <w:rsid w:val="00757C7A"/>
    <w:rsid w:val="00757E9F"/>
    <w:rsid w:val="007605BF"/>
    <w:rsid w:val="007608F2"/>
    <w:rsid w:val="007617E0"/>
    <w:rsid w:val="0076182D"/>
    <w:rsid w:val="00764A5F"/>
    <w:rsid w:val="00764BB3"/>
    <w:rsid w:val="00764E57"/>
    <w:rsid w:val="0076527E"/>
    <w:rsid w:val="007658BD"/>
    <w:rsid w:val="0076590C"/>
    <w:rsid w:val="00765DB5"/>
    <w:rsid w:val="00765F0D"/>
    <w:rsid w:val="007664F7"/>
    <w:rsid w:val="00767079"/>
    <w:rsid w:val="00770A9D"/>
    <w:rsid w:val="00772631"/>
    <w:rsid w:val="0077294F"/>
    <w:rsid w:val="00774254"/>
    <w:rsid w:val="0077452E"/>
    <w:rsid w:val="00774B7B"/>
    <w:rsid w:val="00774D41"/>
    <w:rsid w:val="00774E40"/>
    <w:rsid w:val="007751B4"/>
    <w:rsid w:val="0077539F"/>
    <w:rsid w:val="00775AC5"/>
    <w:rsid w:val="007768A2"/>
    <w:rsid w:val="00780206"/>
    <w:rsid w:val="0078065F"/>
    <w:rsid w:val="00780C2E"/>
    <w:rsid w:val="00782008"/>
    <w:rsid w:val="00782ADC"/>
    <w:rsid w:val="00786EEE"/>
    <w:rsid w:val="00787630"/>
    <w:rsid w:val="00790A28"/>
    <w:rsid w:val="0079115C"/>
    <w:rsid w:val="00792194"/>
    <w:rsid w:val="007922E7"/>
    <w:rsid w:val="00792BC1"/>
    <w:rsid w:val="00792BC3"/>
    <w:rsid w:val="00792FC9"/>
    <w:rsid w:val="007938B7"/>
    <w:rsid w:val="00793D39"/>
    <w:rsid w:val="007943B5"/>
    <w:rsid w:val="00794664"/>
    <w:rsid w:val="00794FA4"/>
    <w:rsid w:val="007956CA"/>
    <w:rsid w:val="007A29EB"/>
    <w:rsid w:val="007A2DD6"/>
    <w:rsid w:val="007A4F95"/>
    <w:rsid w:val="007A5169"/>
    <w:rsid w:val="007A5F5D"/>
    <w:rsid w:val="007A7903"/>
    <w:rsid w:val="007A7C72"/>
    <w:rsid w:val="007B009A"/>
    <w:rsid w:val="007B2F11"/>
    <w:rsid w:val="007B3349"/>
    <w:rsid w:val="007B3A64"/>
    <w:rsid w:val="007B4BC6"/>
    <w:rsid w:val="007B55C4"/>
    <w:rsid w:val="007B674A"/>
    <w:rsid w:val="007B7CA0"/>
    <w:rsid w:val="007C0BB8"/>
    <w:rsid w:val="007C3EF4"/>
    <w:rsid w:val="007C5C65"/>
    <w:rsid w:val="007C694D"/>
    <w:rsid w:val="007C7903"/>
    <w:rsid w:val="007D61A2"/>
    <w:rsid w:val="007D67D4"/>
    <w:rsid w:val="007D6849"/>
    <w:rsid w:val="007D6922"/>
    <w:rsid w:val="007E067E"/>
    <w:rsid w:val="007E0AE7"/>
    <w:rsid w:val="007E0B77"/>
    <w:rsid w:val="007E1D95"/>
    <w:rsid w:val="007E30C5"/>
    <w:rsid w:val="007E4178"/>
    <w:rsid w:val="007F10AF"/>
    <w:rsid w:val="007F1398"/>
    <w:rsid w:val="007F19E7"/>
    <w:rsid w:val="007F22D4"/>
    <w:rsid w:val="007F2319"/>
    <w:rsid w:val="007F31AC"/>
    <w:rsid w:val="007F45D1"/>
    <w:rsid w:val="007F695E"/>
    <w:rsid w:val="0080084C"/>
    <w:rsid w:val="008017C2"/>
    <w:rsid w:val="00801A20"/>
    <w:rsid w:val="0080327E"/>
    <w:rsid w:val="0080390C"/>
    <w:rsid w:val="00804463"/>
    <w:rsid w:val="00806FF5"/>
    <w:rsid w:val="008072C1"/>
    <w:rsid w:val="00810B18"/>
    <w:rsid w:val="008114F3"/>
    <w:rsid w:val="008115D1"/>
    <w:rsid w:val="008123C7"/>
    <w:rsid w:val="00814FA5"/>
    <w:rsid w:val="0082004A"/>
    <w:rsid w:val="00821253"/>
    <w:rsid w:val="0082455C"/>
    <w:rsid w:val="00827BF8"/>
    <w:rsid w:val="00833A85"/>
    <w:rsid w:val="00836357"/>
    <w:rsid w:val="00841582"/>
    <w:rsid w:val="00841CE4"/>
    <w:rsid w:val="00844E39"/>
    <w:rsid w:val="0084584B"/>
    <w:rsid w:val="00846B30"/>
    <w:rsid w:val="00855E71"/>
    <w:rsid w:val="0085604A"/>
    <w:rsid w:val="00857E75"/>
    <w:rsid w:val="00860958"/>
    <w:rsid w:val="008656A1"/>
    <w:rsid w:val="00865A74"/>
    <w:rsid w:val="00866003"/>
    <w:rsid w:val="00870190"/>
    <w:rsid w:val="00870659"/>
    <w:rsid w:val="00870A2A"/>
    <w:rsid w:val="008722B8"/>
    <w:rsid w:val="00874870"/>
    <w:rsid w:val="008827E3"/>
    <w:rsid w:val="008831F6"/>
    <w:rsid w:val="00883529"/>
    <w:rsid w:val="008845F2"/>
    <w:rsid w:val="008915D0"/>
    <w:rsid w:val="00892E3A"/>
    <w:rsid w:val="00894858"/>
    <w:rsid w:val="008953E8"/>
    <w:rsid w:val="00895989"/>
    <w:rsid w:val="00895D30"/>
    <w:rsid w:val="00895EDA"/>
    <w:rsid w:val="008A1377"/>
    <w:rsid w:val="008A206F"/>
    <w:rsid w:val="008A493E"/>
    <w:rsid w:val="008A50A5"/>
    <w:rsid w:val="008A5CFE"/>
    <w:rsid w:val="008A6F4D"/>
    <w:rsid w:val="008A7220"/>
    <w:rsid w:val="008B06C5"/>
    <w:rsid w:val="008B1438"/>
    <w:rsid w:val="008B1BEA"/>
    <w:rsid w:val="008B2C89"/>
    <w:rsid w:val="008B3982"/>
    <w:rsid w:val="008C079D"/>
    <w:rsid w:val="008C0CC6"/>
    <w:rsid w:val="008C16B5"/>
    <w:rsid w:val="008C17A5"/>
    <w:rsid w:val="008C1D59"/>
    <w:rsid w:val="008C228C"/>
    <w:rsid w:val="008C2A71"/>
    <w:rsid w:val="008C4EE3"/>
    <w:rsid w:val="008D0A00"/>
    <w:rsid w:val="008D124E"/>
    <w:rsid w:val="008D25F6"/>
    <w:rsid w:val="008D48D6"/>
    <w:rsid w:val="008D60CC"/>
    <w:rsid w:val="008D62B0"/>
    <w:rsid w:val="008D691F"/>
    <w:rsid w:val="008E0CED"/>
    <w:rsid w:val="008E0F1A"/>
    <w:rsid w:val="008E332A"/>
    <w:rsid w:val="008E5EAB"/>
    <w:rsid w:val="008E7B34"/>
    <w:rsid w:val="008F027C"/>
    <w:rsid w:val="008F1932"/>
    <w:rsid w:val="008F1D4E"/>
    <w:rsid w:val="008F2BD7"/>
    <w:rsid w:val="008F33A9"/>
    <w:rsid w:val="00900E54"/>
    <w:rsid w:val="009013E6"/>
    <w:rsid w:val="009014F3"/>
    <w:rsid w:val="0090272A"/>
    <w:rsid w:val="00904867"/>
    <w:rsid w:val="00905069"/>
    <w:rsid w:val="00905A7E"/>
    <w:rsid w:val="00905CE5"/>
    <w:rsid w:val="00907BD9"/>
    <w:rsid w:val="0091036D"/>
    <w:rsid w:val="00912692"/>
    <w:rsid w:val="00914775"/>
    <w:rsid w:val="0091768E"/>
    <w:rsid w:val="00921729"/>
    <w:rsid w:val="00921863"/>
    <w:rsid w:val="00921F84"/>
    <w:rsid w:val="0092303B"/>
    <w:rsid w:val="0092411E"/>
    <w:rsid w:val="009258BE"/>
    <w:rsid w:val="00926641"/>
    <w:rsid w:val="0092676C"/>
    <w:rsid w:val="0092748A"/>
    <w:rsid w:val="009277F9"/>
    <w:rsid w:val="009317A7"/>
    <w:rsid w:val="00931BD7"/>
    <w:rsid w:val="0093323D"/>
    <w:rsid w:val="00933C57"/>
    <w:rsid w:val="00933DAA"/>
    <w:rsid w:val="00935045"/>
    <w:rsid w:val="0093527F"/>
    <w:rsid w:val="00935BCB"/>
    <w:rsid w:val="00936552"/>
    <w:rsid w:val="00936762"/>
    <w:rsid w:val="00937388"/>
    <w:rsid w:val="009377F3"/>
    <w:rsid w:val="009406AB"/>
    <w:rsid w:val="0094362C"/>
    <w:rsid w:val="009447FF"/>
    <w:rsid w:val="00944B05"/>
    <w:rsid w:val="00945FAC"/>
    <w:rsid w:val="00946A3B"/>
    <w:rsid w:val="0095182E"/>
    <w:rsid w:val="00951C43"/>
    <w:rsid w:val="00953C60"/>
    <w:rsid w:val="009547EE"/>
    <w:rsid w:val="009549F8"/>
    <w:rsid w:val="00955517"/>
    <w:rsid w:val="009621B3"/>
    <w:rsid w:val="009625A2"/>
    <w:rsid w:val="0096348C"/>
    <w:rsid w:val="00964E12"/>
    <w:rsid w:val="00966CF4"/>
    <w:rsid w:val="009739A4"/>
    <w:rsid w:val="00973ECC"/>
    <w:rsid w:val="00974976"/>
    <w:rsid w:val="009766B2"/>
    <w:rsid w:val="0097708A"/>
    <w:rsid w:val="009835DE"/>
    <w:rsid w:val="00992459"/>
    <w:rsid w:val="00995591"/>
    <w:rsid w:val="00995D39"/>
    <w:rsid w:val="009972BB"/>
    <w:rsid w:val="009A006D"/>
    <w:rsid w:val="009A0A3B"/>
    <w:rsid w:val="009A36A3"/>
    <w:rsid w:val="009A5056"/>
    <w:rsid w:val="009A5194"/>
    <w:rsid w:val="009A54B8"/>
    <w:rsid w:val="009A65A2"/>
    <w:rsid w:val="009A679A"/>
    <w:rsid w:val="009A6853"/>
    <w:rsid w:val="009B041A"/>
    <w:rsid w:val="009B0663"/>
    <w:rsid w:val="009B0EA0"/>
    <w:rsid w:val="009B10F8"/>
    <w:rsid w:val="009B2774"/>
    <w:rsid w:val="009B2CE7"/>
    <w:rsid w:val="009B2FE1"/>
    <w:rsid w:val="009B71C1"/>
    <w:rsid w:val="009B7C07"/>
    <w:rsid w:val="009B7CA4"/>
    <w:rsid w:val="009C01F4"/>
    <w:rsid w:val="009C0E32"/>
    <w:rsid w:val="009C1008"/>
    <w:rsid w:val="009C17AE"/>
    <w:rsid w:val="009C2C7B"/>
    <w:rsid w:val="009C3AAF"/>
    <w:rsid w:val="009C7A2B"/>
    <w:rsid w:val="009C7E6E"/>
    <w:rsid w:val="009D05B9"/>
    <w:rsid w:val="009D0DEB"/>
    <w:rsid w:val="009D2960"/>
    <w:rsid w:val="009D624F"/>
    <w:rsid w:val="009E0C8F"/>
    <w:rsid w:val="009E0E0D"/>
    <w:rsid w:val="009E2BE3"/>
    <w:rsid w:val="009E308B"/>
    <w:rsid w:val="009E3C94"/>
    <w:rsid w:val="009E5642"/>
    <w:rsid w:val="009E5BD2"/>
    <w:rsid w:val="009E6107"/>
    <w:rsid w:val="009E6E22"/>
    <w:rsid w:val="009F01B0"/>
    <w:rsid w:val="009F048A"/>
    <w:rsid w:val="009F131A"/>
    <w:rsid w:val="009F187C"/>
    <w:rsid w:val="009F1C30"/>
    <w:rsid w:val="009F2066"/>
    <w:rsid w:val="009F2516"/>
    <w:rsid w:val="009F25BA"/>
    <w:rsid w:val="009F445D"/>
    <w:rsid w:val="009F48B8"/>
    <w:rsid w:val="009F4AE7"/>
    <w:rsid w:val="009F627E"/>
    <w:rsid w:val="00A029A8"/>
    <w:rsid w:val="00A02CAD"/>
    <w:rsid w:val="00A04BD3"/>
    <w:rsid w:val="00A05FD5"/>
    <w:rsid w:val="00A06277"/>
    <w:rsid w:val="00A065D1"/>
    <w:rsid w:val="00A06F1B"/>
    <w:rsid w:val="00A1045F"/>
    <w:rsid w:val="00A106A2"/>
    <w:rsid w:val="00A10AD5"/>
    <w:rsid w:val="00A11C28"/>
    <w:rsid w:val="00A12BF9"/>
    <w:rsid w:val="00A1568E"/>
    <w:rsid w:val="00A2133A"/>
    <w:rsid w:val="00A224E4"/>
    <w:rsid w:val="00A22820"/>
    <w:rsid w:val="00A23AA5"/>
    <w:rsid w:val="00A24AE9"/>
    <w:rsid w:val="00A25700"/>
    <w:rsid w:val="00A25DCA"/>
    <w:rsid w:val="00A273F1"/>
    <w:rsid w:val="00A3022F"/>
    <w:rsid w:val="00A311F1"/>
    <w:rsid w:val="00A311F9"/>
    <w:rsid w:val="00A34452"/>
    <w:rsid w:val="00A349B4"/>
    <w:rsid w:val="00A35C0C"/>
    <w:rsid w:val="00A362A4"/>
    <w:rsid w:val="00A370AC"/>
    <w:rsid w:val="00A42BEE"/>
    <w:rsid w:val="00A43AAB"/>
    <w:rsid w:val="00A4523C"/>
    <w:rsid w:val="00A457D7"/>
    <w:rsid w:val="00A466DF"/>
    <w:rsid w:val="00A47834"/>
    <w:rsid w:val="00A50574"/>
    <w:rsid w:val="00A50A24"/>
    <w:rsid w:val="00A55427"/>
    <w:rsid w:val="00A57032"/>
    <w:rsid w:val="00A60BE5"/>
    <w:rsid w:val="00A611D2"/>
    <w:rsid w:val="00A61F17"/>
    <w:rsid w:val="00A6240B"/>
    <w:rsid w:val="00A62467"/>
    <w:rsid w:val="00A6443D"/>
    <w:rsid w:val="00A6548F"/>
    <w:rsid w:val="00A66DB7"/>
    <w:rsid w:val="00A674DF"/>
    <w:rsid w:val="00A719C4"/>
    <w:rsid w:val="00A744D1"/>
    <w:rsid w:val="00A7554C"/>
    <w:rsid w:val="00A75D34"/>
    <w:rsid w:val="00A77732"/>
    <w:rsid w:val="00A80DA1"/>
    <w:rsid w:val="00A83027"/>
    <w:rsid w:val="00A8384E"/>
    <w:rsid w:val="00A84018"/>
    <w:rsid w:val="00A84EB5"/>
    <w:rsid w:val="00A9005E"/>
    <w:rsid w:val="00A91905"/>
    <w:rsid w:val="00A94544"/>
    <w:rsid w:val="00A9469E"/>
    <w:rsid w:val="00A94A0F"/>
    <w:rsid w:val="00A972FD"/>
    <w:rsid w:val="00A9795D"/>
    <w:rsid w:val="00AA1BF5"/>
    <w:rsid w:val="00AA1C53"/>
    <w:rsid w:val="00AA2B2A"/>
    <w:rsid w:val="00AA3D3A"/>
    <w:rsid w:val="00AB0DE5"/>
    <w:rsid w:val="00AB1AC2"/>
    <w:rsid w:val="00AB20F9"/>
    <w:rsid w:val="00AB344D"/>
    <w:rsid w:val="00AB39FA"/>
    <w:rsid w:val="00AB3BA6"/>
    <w:rsid w:val="00AB6839"/>
    <w:rsid w:val="00AB7C64"/>
    <w:rsid w:val="00AC0D33"/>
    <w:rsid w:val="00AC1E53"/>
    <w:rsid w:val="00AC27EF"/>
    <w:rsid w:val="00AC35C0"/>
    <w:rsid w:val="00AC6E2B"/>
    <w:rsid w:val="00AC6FC1"/>
    <w:rsid w:val="00AC7AA8"/>
    <w:rsid w:val="00AC7DAD"/>
    <w:rsid w:val="00AD166E"/>
    <w:rsid w:val="00AD2EA8"/>
    <w:rsid w:val="00AD3AF8"/>
    <w:rsid w:val="00AE0854"/>
    <w:rsid w:val="00AE2A60"/>
    <w:rsid w:val="00AE398B"/>
    <w:rsid w:val="00AE54F6"/>
    <w:rsid w:val="00AE56D4"/>
    <w:rsid w:val="00AE7E32"/>
    <w:rsid w:val="00AF1472"/>
    <w:rsid w:val="00AF2A2A"/>
    <w:rsid w:val="00AF3E2F"/>
    <w:rsid w:val="00AF54DC"/>
    <w:rsid w:val="00AF5DDA"/>
    <w:rsid w:val="00AF7D3A"/>
    <w:rsid w:val="00B00CD6"/>
    <w:rsid w:val="00B01A41"/>
    <w:rsid w:val="00B065CB"/>
    <w:rsid w:val="00B0674B"/>
    <w:rsid w:val="00B0686E"/>
    <w:rsid w:val="00B12CA2"/>
    <w:rsid w:val="00B16A82"/>
    <w:rsid w:val="00B2173D"/>
    <w:rsid w:val="00B22447"/>
    <w:rsid w:val="00B25258"/>
    <w:rsid w:val="00B259B2"/>
    <w:rsid w:val="00B27E3D"/>
    <w:rsid w:val="00B31E2A"/>
    <w:rsid w:val="00B32922"/>
    <w:rsid w:val="00B32959"/>
    <w:rsid w:val="00B33620"/>
    <w:rsid w:val="00B33C43"/>
    <w:rsid w:val="00B35082"/>
    <w:rsid w:val="00B3674B"/>
    <w:rsid w:val="00B37E57"/>
    <w:rsid w:val="00B40025"/>
    <w:rsid w:val="00B41147"/>
    <w:rsid w:val="00B4346F"/>
    <w:rsid w:val="00B43E63"/>
    <w:rsid w:val="00B44864"/>
    <w:rsid w:val="00B46455"/>
    <w:rsid w:val="00B46AA5"/>
    <w:rsid w:val="00B46C17"/>
    <w:rsid w:val="00B479BB"/>
    <w:rsid w:val="00B5028A"/>
    <w:rsid w:val="00B563B8"/>
    <w:rsid w:val="00B5658F"/>
    <w:rsid w:val="00B61B7E"/>
    <w:rsid w:val="00B6246E"/>
    <w:rsid w:val="00B62BFE"/>
    <w:rsid w:val="00B63249"/>
    <w:rsid w:val="00B66E7E"/>
    <w:rsid w:val="00B6717D"/>
    <w:rsid w:val="00B6778B"/>
    <w:rsid w:val="00B7307B"/>
    <w:rsid w:val="00B73283"/>
    <w:rsid w:val="00B736E6"/>
    <w:rsid w:val="00B74858"/>
    <w:rsid w:val="00B74A8E"/>
    <w:rsid w:val="00B77AB6"/>
    <w:rsid w:val="00B80AB3"/>
    <w:rsid w:val="00B816C0"/>
    <w:rsid w:val="00B82F66"/>
    <w:rsid w:val="00B8381F"/>
    <w:rsid w:val="00B84783"/>
    <w:rsid w:val="00B86F88"/>
    <w:rsid w:val="00B87556"/>
    <w:rsid w:val="00B87C43"/>
    <w:rsid w:val="00B92D38"/>
    <w:rsid w:val="00B96E71"/>
    <w:rsid w:val="00B97E8E"/>
    <w:rsid w:val="00BA1167"/>
    <w:rsid w:val="00BA27D8"/>
    <w:rsid w:val="00BA2A8F"/>
    <w:rsid w:val="00BA3042"/>
    <w:rsid w:val="00BA3969"/>
    <w:rsid w:val="00BA4518"/>
    <w:rsid w:val="00BA4E0D"/>
    <w:rsid w:val="00BA5C86"/>
    <w:rsid w:val="00BA5DDB"/>
    <w:rsid w:val="00BA6A34"/>
    <w:rsid w:val="00BB1A01"/>
    <w:rsid w:val="00BB1A58"/>
    <w:rsid w:val="00BB2782"/>
    <w:rsid w:val="00BB2E64"/>
    <w:rsid w:val="00BB2F69"/>
    <w:rsid w:val="00BB5C5D"/>
    <w:rsid w:val="00BB6A4B"/>
    <w:rsid w:val="00BB7D03"/>
    <w:rsid w:val="00BC00A4"/>
    <w:rsid w:val="00BC05D4"/>
    <w:rsid w:val="00BC0915"/>
    <w:rsid w:val="00BC11F0"/>
    <w:rsid w:val="00BC2DE1"/>
    <w:rsid w:val="00BD256E"/>
    <w:rsid w:val="00BD2ACF"/>
    <w:rsid w:val="00BD4650"/>
    <w:rsid w:val="00BD6247"/>
    <w:rsid w:val="00BD6827"/>
    <w:rsid w:val="00BE07D0"/>
    <w:rsid w:val="00BE1BEF"/>
    <w:rsid w:val="00BE1DD5"/>
    <w:rsid w:val="00BE2514"/>
    <w:rsid w:val="00BE3BC1"/>
    <w:rsid w:val="00BE50BE"/>
    <w:rsid w:val="00BE54F9"/>
    <w:rsid w:val="00BE5CB2"/>
    <w:rsid w:val="00BE625C"/>
    <w:rsid w:val="00BE63EB"/>
    <w:rsid w:val="00BE6A5F"/>
    <w:rsid w:val="00BF0A12"/>
    <w:rsid w:val="00BF132F"/>
    <w:rsid w:val="00BF2252"/>
    <w:rsid w:val="00BF2517"/>
    <w:rsid w:val="00BF337B"/>
    <w:rsid w:val="00BF4FDF"/>
    <w:rsid w:val="00BF641D"/>
    <w:rsid w:val="00BF7C6A"/>
    <w:rsid w:val="00C0006C"/>
    <w:rsid w:val="00C009F5"/>
    <w:rsid w:val="00C00D34"/>
    <w:rsid w:val="00C046F1"/>
    <w:rsid w:val="00C04C36"/>
    <w:rsid w:val="00C060E1"/>
    <w:rsid w:val="00C06A2A"/>
    <w:rsid w:val="00C0729E"/>
    <w:rsid w:val="00C074F6"/>
    <w:rsid w:val="00C07AC5"/>
    <w:rsid w:val="00C121D1"/>
    <w:rsid w:val="00C149A5"/>
    <w:rsid w:val="00C14A04"/>
    <w:rsid w:val="00C156BE"/>
    <w:rsid w:val="00C157A5"/>
    <w:rsid w:val="00C16257"/>
    <w:rsid w:val="00C1653B"/>
    <w:rsid w:val="00C16572"/>
    <w:rsid w:val="00C1674E"/>
    <w:rsid w:val="00C2069A"/>
    <w:rsid w:val="00C23103"/>
    <w:rsid w:val="00C2332B"/>
    <w:rsid w:val="00C24853"/>
    <w:rsid w:val="00C24E36"/>
    <w:rsid w:val="00C25413"/>
    <w:rsid w:val="00C259B2"/>
    <w:rsid w:val="00C2667A"/>
    <w:rsid w:val="00C27B4B"/>
    <w:rsid w:val="00C27D0D"/>
    <w:rsid w:val="00C305A1"/>
    <w:rsid w:val="00C30B54"/>
    <w:rsid w:val="00C322A2"/>
    <w:rsid w:val="00C33DDB"/>
    <w:rsid w:val="00C3543F"/>
    <w:rsid w:val="00C36497"/>
    <w:rsid w:val="00C403E8"/>
    <w:rsid w:val="00C40805"/>
    <w:rsid w:val="00C4097A"/>
    <w:rsid w:val="00C42217"/>
    <w:rsid w:val="00C42C8D"/>
    <w:rsid w:val="00C43DF4"/>
    <w:rsid w:val="00C46563"/>
    <w:rsid w:val="00C4760F"/>
    <w:rsid w:val="00C505E5"/>
    <w:rsid w:val="00C5144E"/>
    <w:rsid w:val="00C5347B"/>
    <w:rsid w:val="00C545C6"/>
    <w:rsid w:val="00C551A1"/>
    <w:rsid w:val="00C5740B"/>
    <w:rsid w:val="00C57AEC"/>
    <w:rsid w:val="00C61618"/>
    <w:rsid w:val="00C61F57"/>
    <w:rsid w:val="00C65070"/>
    <w:rsid w:val="00C6652F"/>
    <w:rsid w:val="00C66B3B"/>
    <w:rsid w:val="00C731F0"/>
    <w:rsid w:val="00C74045"/>
    <w:rsid w:val="00C750A8"/>
    <w:rsid w:val="00C753C2"/>
    <w:rsid w:val="00C75736"/>
    <w:rsid w:val="00C7624D"/>
    <w:rsid w:val="00C81AC3"/>
    <w:rsid w:val="00C82B2D"/>
    <w:rsid w:val="00C842D7"/>
    <w:rsid w:val="00C84620"/>
    <w:rsid w:val="00C855CD"/>
    <w:rsid w:val="00C8577F"/>
    <w:rsid w:val="00C8711F"/>
    <w:rsid w:val="00C901F9"/>
    <w:rsid w:val="00C90282"/>
    <w:rsid w:val="00C902CF"/>
    <w:rsid w:val="00C93BDD"/>
    <w:rsid w:val="00C95C15"/>
    <w:rsid w:val="00C96D2E"/>
    <w:rsid w:val="00C97934"/>
    <w:rsid w:val="00CA19B5"/>
    <w:rsid w:val="00CA22F3"/>
    <w:rsid w:val="00CA2F9B"/>
    <w:rsid w:val="00CA3878"/>
    <w:rsid w:val="00CA6D1B"/>
    <w:rsid w:val="00CA7032"/>
    <w:rsid w:val="00CA7137"/>
    <w:rsid w:val="00CA7533"/>
    <w:rsid w:val="00CA7A20"/>
    <w:rsid w:val="00CB1CF8"/>
    <w:rsid w:val="00CB59F5"/>
    <w:rsid w:val="00CB723B"/>
    <w:rsid w:val="00CC21C0"/>
    <w:rsid w:val="00CC2A21"/>
    <w:rsid w:val="00CC5154"/>
    <w:rsid w:val="00CC5B1F"/>
    <w:rsid w:val="00CC5D4E"/>
    <w:rsid w:val="00CC66E7"/>
    <w:rsid w:val="00CD0A99"/>
    <w:rsid w:val="00CD2069"/>
    <w:rsid w:val="00CD48FC"/>
    <w:rsid w:val="00CD5890"/>
    <w:rsid w:val="00CD64A0"/>
    <w:rsid w:val="00CD6AF7"/>
    <w:rsid w:val="00CD6FA2"/>
    <w:rsid w:val="00CE0445"/>
    <w:rsid w:val="00CE1E04"/>
    <w:rsid w:val="00CE2604"/>
    <w:rsid w:val="00CE3C64"/>
    <w:rsid w:val="00CE4A54"/>
    <w:rsid w:val="00CE6290"/>
    <w:rsid w:val="00CE7C01"/>
    <w:rsid w:val="00CF4205"/>
    <w:rsid w:val="00CF4E42"/>
    <w:rsid w:val="00CF628B"/>
    <w:rsid w:val="00CF6E8F"/>
    <w:rsid w:val="00D00231"/>
    <w:rsid w:val="00D01D3F"/>
    <w:rsid w:val="00D01E13"/>
    <w:rsid w:val="00D03236"/>
    <w:rsid w:val="00D034C5"/>
    <w:rsid w:val="00D03EBE"/>
    <w:rsid w:val="00D064DB"/>
    <w:rsid w:val="00D071AC"/>
    <w:rsid w:val="00D07E70"/>
    <w:rsid w:val="00D10D4B"/>
    <w:rsid w:val="00D10D86"/>
    <w:rsid w:val="00D13BD6"/>
    <w:rsid w:val="00D1461D"/>
    <w:rsid w:val="00D1483D"/>
    <w:rsid w:val="00D1615B"/>
    <w:rsid w:val="00D16315"/>
    <w:rsid w:val="00D171DB"/>
    <w:rsid w:val="00D17272"/>
    <w:rsid w:val="00D172CE"/>
    <w:rsid w:val="00D21476"/>
    <w:rsid w:val="00D22008"/>
    <w:rsid w:val="00D22385"/>
    <w:rsid w:val="00D22896"/>
    <w:rsid w:val="00D22CAF"/>
    <w:rsid w:val="00D3088B"/>
    <w:rsid w:val="00D30B01"/>
    <w:rsid w:val="00D30E0B"/>
    <w:rsid w:val="00D31E81"/>
    <w:rsid w:val="00D3222E"/>
    <w:rsid w:val="00D32794"/>
    <w:rsid w:val="00D33990"/>
    <w:rsid w:val="00D3412C"/>
    <w:rsid w:val="00D34429"/>
    <w:rsid w:val="00D3482A"/>
    <w:rsid w:val="00D36B3D"/>
    <w:rsid w:val="00D4102F"/>
    <w:rsid w:val="00D420ED"/>
    <w:rsid w:val="00D43398"/>
    <w:rsid w:val="00D440E5"/>
    <w:rsid w:val="00D44B6E"/>
    <w:rsid w:val="00D458ED"/>
    <w:rsid w:val="00D4695C"/>
    <w:rsid w:val="00D51ECB"/>
    <w:rsid w:val="00D5662D"/>
    <w:rsid w:val="00D60E53"/>
    <w:rsid w:val="00D61C4D"/>
    <w:rsid w:val="00D63401"/>
    <w:rsid w:val="00D63FE5"/>
    <w:rsid w:val="00D65C9A"/>
    <w:rsid w:val="00D7081B"/>
    <w:rsid w:val="00D716AF"/>
    <w:rsid w:val="00D71AC2"/>
    <w:rsid w:val="00D73973"/>
    <w:rsid w:val="00D75042"/>
    <w:rsid w:val="00D7536C"/>
    <w:rsid w:val="00D755FD"/>
    <w:rsid w:val="00D80065"/>
    <w:rsid w:val="00D81668"/>
    <w:rsid w:val="00D817D7"/>
    <w:rsid w:val="00D82CC8"/>
    <w:rsid w:val="00D83A16"/>
    <w:rsid w:val="00D83C49"/>
    <w:rsid w:val="00D845BD"/>
    <w:rsid w:val="00D87200"/>
    <w:rsid w:val="00D906BF"/>
    <w:rsid w:val="00D90AA4"/>
    <w:rsid w:val="00D93044"/>
    <w:rsid w:val="00D93E0F"/>
    <w:rsid w:val="00D94A88"/>
    <w:rsid w:val="00D95EE1"/>
    <w:rsid w:val="00D97C26"/>
    <w:rsid w:val="00DA0EFF"/>
    <w:rsid w:val="00DA16DE"/>
    <w:rsid w:val="00DA2FA7"/>
    <w:rsid w:val="00DA4C9C"/>
    <w:rsid w:val="00DA62CA"/>
    <w:rsid w:val="00DA74DF"/>
    <w:rsid w:val="00DA779E"/>
    <w:rsid w:val="00DB0BA0"/>
    <w:rsid w:val="00DB0C9E"/>
    <w:rsid w:val="00DB2C7B"/>
    <w:rsid w:val="00DB47E5"/>
    <w:rsid w:val="00DB4966"/>
    <w:rsid w:val="00DB54A6"/>
    <w:rsid w:val="00DB6058"/>
    <w:rsid w:val="00DB61FC"/>
    <w:rsid w:val="00DB666D"/>
    <w:rsid w:val="00DB6AD3"/>
    <w:rsid w:val="00DC1031"/>
    <w:rsid w:val="00DC1410"/>
    <w:rsid w:val="00DC18B0"/>
    <w:rsid w:val="00DC2DB0"/>
    <w:rsid w:val="00DC335B"/>
    <w:rsid w:val="00DC4E09"/>
    <w:rsid w:val="00DD0B54"/>
    <w:rsid w:val="00DD195C"/>
    <w:rsid w:val="00DD2E32"/>
    <w:rsid w:val="00DD3A53"/>
    <w:rsid w:val="00DD6AEA"/>
    <w:rsid w:val="00DE0A64"/>
    <w:rsid w:val="00DE0C7B"/>
    <w:rsid w:val="00DE0F41"/>
    <w:rsid w:val="00DE41B4"/>
    <w:rsid w:val="00DE7029"/>
    <w:rsid w:val="00DE7B41"/>
    <w:rsid w:val="00DF276E"/>
    <w:rsid w:val="00DF3E06"/>
    <w:rsid w:val="00DF4AEC"/>
    <w:rsid w:val="00DF55ED"/>
    <w:rsid w:val="00DF5B0D"/>
    <w:rsid w:val="00DF7B7B"/>
    <w:rsid w:val="00E00C3E"/>
    <w:rsid w:val="00E03901"/>
    <w:rsid w:val="00E04E93"/>
    <w:rsid w:val="00E0775B"/>
    <w:rsid w:val="00E07DDB"/>
    <w:rsid w:val="00E1124A"/>
    <w:rsid w:val="00E11C48"/>
    <w:rsid w:val="00E14818"/>
    <w:rsid w:val="00E14A42"/>
    <w:rsid w:val="00E14D47"/>
    <w:rsid w:val="00E14E7E"/>
    <w:rsid w:val="00E160EB"/>
    <w:rsid w:val="00E16FAA"/>
    <w:rsid w:val="00E214AC"/>
    <w:rsid w:val="00E22C1B"/>
    <w:rsid w:val="00E239C8"/>
    <w:rsid w:val="00E23BBA"/>
    <w:rsid w:val="00E24447"/>
    <w:rsid w:val="00E25EE8"/>
    <w:rsid w:val="00E2717A"/>
    <w:rsid w:val="00E276A7"/>
    <w:rsid w:val="00E277BA"/>
    <w:rsid w:val="00E32BF0"/>
    <w:rsid w:val="00E338E4"/>
    <w:rsid w:val="00E350EC"/>
    <w:rsid w:val="00E35B5E"/>
    <w:rsid w:val="00E36BAC"/>
    <w:rsid w:val="00E36D62"/>
    <w:rsid w:val="00E36E7C"/>
    <w:rsid w:val="00E423FC"/>
    <w:rsid w:val="00E43C75"/>
    <w:rsid w:val="00E43C8F"/>
    <w:rsid w:val="00E44441"/>
    <w:rsid w:val="00E4480F"/>
    <w:rsid w:val="00E44CDA"/>
    <w:rsid w:val="00E4586A"/>
    <w:rsid w:val="00E465E5"/>
    <w:rsid w:val="00E4680F"/>
    <w:rsid w:val="00E47622"/>
    <w:rsid w:val="00E50288"/>
    <w:rsid w:val="00E51CEF"/>
    <w:rsid w:val="00E52075"/>
    <w:rsid w:val="00E52961"/>
    <w:rsid w:val="00E55099"/>
    <w:rsid w:val="00E56121"/>
    <w:rsid w:val="00E60CFE"/>
    <w:rsid w:val="00E6416F"/>
    <w:rsid w:val="00E64EB2"/>
    <w:rsid w:val="00E65DF0"/>
    <w:rsid w:val="00E665E4"/>
    <w:rsid w:val="00E67E0E"/>
    <w:rsid w:val="00E7148F"/>
    <w:rsid w:val="00E72812"/>
    <w:rsid w:val="00E72B2D"/>
    <w:rsid w:val="00E74B16"/>
    <w:rsid w:val="00E74EC9"/>
    <w:rsid w:val="00E762CB"/>
    <w:rsid w:val="00E76C71"/>
    <w:rsid w:val="00E77482"/>
    <w:rsid w:val="00E800FB"/>
    <w:rsid w:val="00E80E47"/>
    <w:rsid w:val="00E81EBC"/>
    <w:rsid w:val="00E82229"/>
    <w:rsid w:val="00E826ED"/>
    <w:rsid w:val="00E82D2A"/>
    <w:rsid w:val="00E8362A"/>
    <w:rsid w:val="00E85814"/>
    <w:rsid w:val="00E87643"/>
    <w:rsid w:val="00E87FB8"/>
    <w:rsid w:val="00E91C4A"/>
    <w:rsid w:val="00E94539"/>
    <w:rsid w:val="00E96612"/>
    <w:rsid w:val="00E96ED2"/>
    <w:rsid w:val="00EA119D"/>
    <w:rsid w:val="00EA11FD"/>
    <w:rsid w:val="00EA61DB"/>
    <w:rsid w:val="00EA621A"/>
    <w:rsid w:val="00EB2CCC"/>
    <w:rsid w:val="00EB3B60"/>
    <w:rsid w:val="00EB45B3"/>
    <w:rsid w:val="00EB5DF7"/>
    <w:rsid w:val="00EB607C"/>
    <w:rsid w:val="00EB7A6C"/>
    <w:rsid w:val="00EC1593"/>
    <w:rsid w:val="00EC21DC"/>
    <w:rsid w:val="00EC226A"/>
    <w:rsid w:val="00EC22C3"/>
    <w:rsid w:val="00EC549D"/>
    <w:rsid w:val="00EC56A5"/>
    <w:rsid w:val="00EC6E1D"/>
    <w:rsid w:val="00ED0DA8"/>
    <w:rsid w:val="00ED11DE"/>
    <w:rsid w:val="00ED394B"/>
    <w:rsid w:val="00ED43A7"/>
    <w:rsid w:val="00ED5521"/>
    <w:rsid w:val="00ED5BFE"/>
    <w:rsid w:val="00EE163A"/>
    <w:rsid w:val="00EE45F0"/>
    <w:rsid w:val="00EE4E88"/>
    <w:rsid w:val="00EE5263"/>
    <w:rsid w:val="00EE65F0"/>
    <w:rsid w:val="00EE6791"/>
    <w:rsid w:val="00EF1A5D"/>
    <w:rsid w:val="00EF1B0C"/>
    <w:rsid w:val="00EF1E92"/>
    <w:rsid w:val="00EF2328"/>
    <w:rsid w:val="00EF34C2"/>
    <w:rsid w:val="00EF6693"/>
    <w:rsid w:val="00F01097"/>
    <w:rsid w:val="00F038B1"/>
    <w:rsid w:val="00F04746"/>
    <w:rsid w:val="00F11EE4"/>
    <w:rsid w:val="00F12CA2"/>
    <w:rsid w:val="00F13A83"/>
    <w:rsid w:val="00F14671"/>
    <w:rsid w:val="00F15B58"/>
    <w:rsid w:val="00F17A20"/>
    <w:rsid w:val="00F21709"/>
    <w:rsid w:val="00F2432E"/>
    <w:rsid w:val="00F26DEA"/>
    <w:rsid w:val="00F324E8"/>
    <w:rsid w:val="00F33E83"/>
    <w:rsid w:val="00F35398"/>
    <w:rsid w:val="00F35EC4"/>
    <w:rsid w:val="00F35FFE"/>
    <w:rsid w:val="00F36826"/>
    <w:rsid w:val="00F36A4B"/>
    <w:rsid w:val="00F37173"/>
    <w:rsid w:val="00F4225A"/>
    <w:rsid w:val="00F42447"/>
    <w:rsid w:val="00F468A5"/>
    <w:rsid w:val="00F46D13"/>
    <w:rsid w:val="00F471C3"/>
    <w:rsid w:val="00F51231"/>
    <w:rsid w:val="00F54EB8"/>
    <w:rsid w:val="00F57EA4"/>
    <w:rsid w:val="00F60E58"/>
    <w:rsid w:val="00F63805"/>
    <w:rsid w:val="00F65785"/>
    <w:rsid w:val="00F66418"/>
    <w:rsid w:val="00F66C5F"/>
    <w:rsid w:val="00F67378"/>
    <w:rsid w:val="00F71C86"/>
    <w:rsid w:val="00F73B70"/>
    <w:rsid w:val="00F73EF9"/>
    <w:rsid w:val="00F74346"/>
    <w:rsid w:val="00F773B4"/>
    <w:rsid w:val="00F802B9"/>
    <w:rsid w:val="00F823D4"/>
    <w:rsid w:val="00F833B1"/>
    <w:rsid w:val="00F83615"/>
    <w:rsid w:val="00F83DA1"/>
    <w:rsid w:val="00F84752"/>
    <w:rsid w:val="00F84841"/>
    <w:rsid w:val="00F8778C"/>
    <w:rsid w:val="00F8788A"/>
    <w:rsid w:val="00F87FEC"/>
    <w:rsid w:val="00F921B3"/>
    <w:rsid w:val="00F92A2B"/>
    <w:rsid w:val="00F95899"/>
    <w:rsid w:val="00F97D2D"/>
    <w:rsid w:val="00FA08E5"/>
    <w:rsid w:val="00FA09C0"/>
    <w:rsid w:val="00FA5CBE"/>
    <w:rsid w:val="00FB1C47"/>
    <w:rsid w:val="00FB1CD4"/>
    <w:rsid w:val="00FB3982"/>
    <w:rsid w:val="00FC14C4"/>
    <w:rsid w:val="00FC5294"/>
    <w:rsid w:val="00FC563F"/>
    <w:rsid w:val="00FC6990"/>
    <w:rsid w:val="00FD0370"/>
    <w:rsid w:val="00FD0F10"/>
    <w:rsid w:val="00FD1DC8"/>
    <w:rsid w:val="00FD2855"/>
    <w:rsid w:val="00FD4867"/>
    <w:rsid w:val="00FD5918"/>
    <w:rsid w:val="00FD77E6"/>
    <w:rsid w:val="00FE187E"/>
    <w:rsid w:val="00FE1C3C"/>
    <w:rsid w:val="00FE2CDA"/>
    <w:rsid w:val="00FE4C87"/>
    <w:rsid w:val="00FE5CD9"/>
    <w:rsid w:val="00FE71E7"/>
    <w:rsid w:val="00FE7FD9"/>
    <w:rsid w:val="00FF2232"/>
    <w:rsid w:val="00FF2995"/>
    <w:rsid w:val="00FF2C72"/>
    <w:rsid w:val="00FF2F05"/>
    <w:rsid w:val="00FF3958"/>
    <w:rsid w:val="00FF42D6"/>
    <w:rsid w:val="00FF7F8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0E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54D7"/>
    <w:pPr>
      <w:spacing w:after="200" w:line="276" w:lineRule="auto"/>
    </w:pPr>
    <w:rPr>
      <w:sz w:val="22"/>
      <w:szCs w:val="22"/>
      <w:lang w:eastAsia="en-US"/>
    </w:rPr>
  </w:style>
  <w:style w:type="paragraph" w:styleId="Nagwek1">
    <w:name w:val="heading 1"/>
    <w:basedOn w:val="Normalny"/>
    <w:next w:val="Normalny"/>
    <w:link w:val="Nagwek1Znak"/>
    <w:qFormat/>
    <w:rsid w:val="00020B68"/>
    <w:pPr>
      <w:keepNext/>
      <w:spacing w:before="240" w:after="60" w:line="240" w:lineRule="auto"/>
      <w:outlineLvl w:val="0"/>
    </w:pPr>
    <w:rPr>
      <w:rFonts w:ascii="Arial" w:eastAsia="Times New Roman" w:hAnsi="Arial" w:cs="Arial"/>
      <w:b/>
      <w:bCs/>
      <w:kern w:val="32"/>
      <w:sz w:val="32"/>
      <w:szCs w:val="32"/>
      <w:lang w:eastAsia="pl-PL"/>
    </w:rPr>
  </w:style>
  <w:style w:type="paragraph" w:styleId="Nagwek3">
    <w:name w:val="heading 3"/>
    <w:basedOn w:val="Normalny"/>
    <w:next w:val="Normalny"/>
    <w:link w:val="Nagwek3Znak"/>
    <w:qFormat/>
    <w:rsid w:val="0082004A"/>
    <w:pPr>
      <w:keepNext/>
      <w:keepLines/>
      <w:spacing w:before="200" w:after="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rsid w:val="007E0AE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E0AE7"/>
    <w:rPr>
      <w:rFonts w:cs="Times New Roman"/>
      <w:sz w:val="20"/>
      <w:szCs w:val="20"/>
    </w:rPr>
  </w:style>
  <w:style w:type="character" w:styleId="Odwoanieprzypisudolnego">
    <w:name w:val="footnote reference"/>
    <w:basedOn w:val="Domylnaczcionkaakapitu"/>
    <w:uiPriority w:val="99"/>
    <w:semiHidden/>
    <w:rsid w:val="007E0AE7"/>
    <w:rPr>
      <w:rFonts w:cs="Times New Roman"/>
      <w:vertAlign w:val="superscript"/>
    </w:rPr>
  </w:style>
  <w:style w:type="character" w:styleId="Hipercze">
    <w:name w:val="Hyperlink"/>
    <w:basedOn w:val="Domylnaczcionkaakapitu"/>
    <w:uiPriority w:val="99"/>
    <w:rsid w:val="007E0AE7"/>
    <w:rPr>
      <w:rFonts w:cs="Times New Roman"/>
      <w:color w:val="0000FF"/>
      <w:u w:val="single"/>
    </w:rPr>
  </w:style>
  <w:style w:type="character" w:styleId="Odwoaniedokomentarza">
    <w:name w:val="annotation reference"/>
    <w:basedOn w:val="Domylnaczcionkaakapitu"/>
    <w:semiHidden/>
    <w:rsid w:val="00E74EC9"/>
    <w:rPr>
      <w:rFonts w:cs="Times New Roman"/>
      <w:sz w:val="16"/>
      <w:szCs w:val="16"/>
    </w:rPr>
  </w:style>
  <w:style w:type="paragraph" w:styleId="Tekstkomentarza">
    <w:name w:val="annotation text"/>
    <w:basedOn w:val="Normalny"/>
    <w:link w:val="TekstkomentarzaZnak"/>
    <w:uiPriority w:val="99"/>
    <w:semiHidden/>
    <w:rsid w:val="00E74EC9"/>
    <w:pPr>
      <w:spacing w:after="160" w:line="240" w:lineRule="auto"/>
    </w:pPr>
    <w:rPr>
      <w:sz w:val="20"/>
      <w:szCs w:val="20"/>
    </w:rPr>
  </w:style>
  <w:style w:type="character" w:customStyle="1" w:styleId="TekstkomentarzaZnak">
    <w:name w:val="Tekst komentarza Znak"/>
    <w:basedOn w:val="Domylnaczcionkaakapitu"/>
    <w:link w:val="Tekstkomentarza"/>
    <w:uiPriority w:val="99"/>
    <w:semiHidden/>
    <w:rsid w:val="00E74EC9"/>
    <w:rPr>
      <w:rFonts w:cs="Times New Roman"/>
      <w:sz w:val="20"/>
      <w:szCs w:val="20"/>
    </w:rPr>
  </w:style>
  <w:style w:type="paragraph" w:styleId="Tekstdymka">
    <w:name w:val="Balloon Text"/>
    <w:basedOn w:val="Normalny"/>
    <w:link w:val="TekstdymkaZnak"/>
    <w:semiHidden/>
    <w:rsid w:val="00E74EC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semiHidden/>
    <w:rsid w:val="00E74EC9"/>
    <w:rPr>
      <w:rFonts w:ascii="Tahoma" w:hAnsi="Tahoma" w:cs="Tahoma"/>
      <w:sz w:val="16"/>
      <w:szCs w:val="16"/>
    </w:rPr>
  </w:style>
  <w:style w:type="paragraph" w:styleId="Nagwek">
    <w:name w:val="header"/>
    <w:basedOn w:val="Normalny"/>
    <w:link w:val="NagwekZnak"/>
    <w:rsid w:val="00BC05D4"/>
    <w:pPr>
      <w:tabs>
        <w:tab w:val="center" w:pos="4536"/>
        <w:tab w:val="right" w:pos="9072"/>
      </w:tabs>
      <w:spacing w:after="0" w:line="240" w:lineRule="auto"/>
    </w:pPr>
  </w:style>
  <w:style w:type="character" w:customStyle="1" w:styleId="NagwekZnak">
    <w:name w:val="Nagłówek Znak"/>
    <w:basedOn w:val="Domylnaczcionkaakapitu"/>
    <w:link w:val="Nagwek"/>
    <w:rsid w:val="00BC05D4"/>
    <w:rPr>
      <w:rFonts w:cs="Times New Roman"/>
    </w:rPr>
  </w:style>
  <w:style w:type="paragraph" w:styleId="Stopka">
    <w:name w:val="footer"/>
    <w:basedOn w:val="Normalny"/>
    <w:link w:val="StopkaZnak"/>
    <w:uiPriority w:val="99"/>
    <w:rsid w:val="00BC05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C05D4"/>
    <w:rPr>
      <w:rFonts w:cs="Times New Roman"/>
    </w:rPr>
  </w:style>
  <w:style w:type="paragraph" w:styleId="Tekstprzypisukocowego">
    <w:name w:val="endnote text"/>
    <w:basedOn w:val="Normalny"/>
    <w:link w:val="TekstprzypisukocowegoZnak"/>
    <w:semiHidden/>
    <w:rsid w:val="00E44CDA"/>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E44CDA"/>
    <w:rPr>
      <w:rFonts w:cs="Times New Roman"/>
      <w:sz w:val="20"/>
      <w:szCs w:val="20"/>
    </w:rPr>
  </w:style>
  <w:style w:type="character" w:styleId="Odwoanieprzypisukocowego">
    <w:name w:val="endnote reference"/>
    <w:basedOn w:val="Domylnaczcionkaakapitu"/>
    <w:semiHidden/>
    <w:rsid w:val="00E44CDA"/>
    <w:rPr>
      <w:rFonts w:cs="Times New Roman"/>
      <w:vertAlign w:val="superscript"/>
    </w:rPr>
  </w:style>
  <w:style w:type="paragraph" w:styleId="NormalnyWeb">
    <w:name w:val="Normal (Web)"/>
    <w:basedOn w:val="Normalny"/>
    <w:semiHidden/>
    <w:rsid w:val="00E44CDA"/>
    <w:rPr>
      <w:rFonts w:ascii="Times New Roman" w:hAnsi="Times New Roman"/>
      <w:sz w:val="24"/>
      <w:szCs w:val="24"/>
    </w:rPr>
  </w:style>
  <w:style w:type="paragraph" w:styleId="Tematkomentarza">
    <w:name w:val="annotation subject"/>
    <w:basedOn w:val="Tekstkomentarza"/>
    <w:next w:val="Tekstkomentarza"/>
    <w:link w:val="TematkomentarzaZnak"/>
    <w:semiHidden/>
    <w:rsid w:val="00217925"/>
    <w:pPr>
      <w:spacing w:after="200"/>
    </w:pPr>
    <w:rPr>
      <w:b/>
      <w:bCs/>
    </w:rPr>
  </w:style>
  <w:style w:type="character" w:customStyle="1" w:styleId="TematkomentarzaZnak">
    <w:name w:val="Temat komentarza Znak"/>
    <w:basedOn w:val="TekstkomentarzaZnak"/>
    <w:link w:val="Tematkomentarza"/>
    <w:semiHidden/>
    <w:rsid w:val="00217925"/>
    <w:rPr>
      <w:rFonts w:cs="Times New Roman"/>
      <w:b/>
      <w:bCs/>
      <w:sz w:val="20"/>
      <w:szCs w:val="20"/>
    </w:rPr>
  </w:style>
  <w:style w:type="paragraph" w:customStyle="1" w:styleId="Akapitzlist1">
    <w:name w:val="Akapit z listą1"/>
    <w:basedOn w:val="Normalny"/>
    <w:rsid w:val="007605BF"/>
    <w:pPr>
      <w:ind w:left="720"/>
      <w:contextualSpacing/>
    </w:pPr>
  </w:style>
  <w:style w:type="paragraph" w:customStyle="1" w:styleId="Poprawka1">
    <w:name w:val="Poprawka1"/>
    <w:hidden/>
    <w:semiHidden/>
    <w:rsid w:val="00051150"/>
    <w:rPr>
      <w:sz w:val="22"/>
      <w:szCs w:val="22"/>
      <w:lang w:eastAsia="en-US"/>
    </w:rPr>
  </w:style>
  <w:style w:type="paragraph" w:customStyle="1" w:styleId="Akapitzlist2">
    <w:name w:val="Akapit z listą2"/>
    <w:basedOn w:val="Normalny"/>
    <w:rsid w:val="006D3C8D"/>
    <w:pPr>
      <w:ind w:left="720"/>
      <w:contextualSpacing/>
    </w:pPr>
  </w:style>
  <w:style w:type="character" w:customStyle="1" w:styleId="Nagwek3Znak">
    <w:name w:val="Nagłówek 3 Znak"/>
    <w:basedOn w:val="Domylnaczcionkaakapitu"/>
    <w:link w:val="Nagwek3"/>
    <w:semiHidden/>
    <w:rsid w:val="0082004A"/>
    <w:rPr>
      <w:rFonts w:ascii="Cambria" w:hAnsi="Cambria" w:cs="Times New Roman"/>
      <w:b/>
      <w:bCs/>
      <w:color w:val="4F81BD"/>
      <w:sz w:val="22"/>
      <w:szCs w:val="22"/>
      <w:lang w:eastAsia="en-US"/>
    </w:rPr>
  </w:style>
  <w:style w:type="character" w:customStyle="1" w:styleId="Znak1">
    <w:name w:val="Znak1"/>
    <w:basedOn w:val="Domylnaczcionkaakapitu"/>
    <w:rsid w:val="00661DF0"/>
    <w:rPr>
      <w:rFonts w:ascii="Times New Roman" w:eastAsia="MS Mincho" w:hAnsi="Times New Roman" w:cs="Times New Roman"/>
      <w:sz w:val="20"/>
      <w:szCs w:val="20"/>
      <w:lang w:eastAsia="pl-PL"/>
    </w:rPr>
  </w:style>
  <w:style w:type="character" w:styleId="UyteHipercze">
    <w:name w:val="FollowedHyperlink"/>
    <w:basedOn w:val="Domylnaczcionkaakapitu"/>
    <w:uiPriority w:val="99"/>
    <w:semiHidden/>
    <w:unhideWhenUsed/>
    <w:rsid w:val="00FB1CD4"/>
    <w:rPr>
      <w:color w:val="800080" w:themeColor="followedHyperlink"/>
      <w:u w:val="single"/>
    </w:rPr>
  </w:style>
  <w:style w:type="paragraph" w:styleId="Akapitzlist">
    <w:name w:val="List Paragraph"/>
    <w:basedOn w:val="Normalny"/>
    <w:uiPriority w:val="34"/>
    <w:qFormat/>
    <w:rsid w:val="002E33BC"/>
    <w:pPr>
      <w:ind w:left="720"/>
      <w:contextualSpacing/>
    </w:pPr>
  </w:style>
  <w:style w:type="character" w:styleId="Uwydatnienie">
    <w:name w:val="Emphasis"/>
    <w:basedOn w:val="Domylnaczcionkaakapitu"/>
    <w:uiPriority w:val="20"/>
    <w:qFormat/>
    <w:rsid w:val="009766B2"/>
    <w:rPr>
      <w:i/>
      <w:iCs/>
    </w:rPr>
  </w:style>
  <w:style w:type="paragraph" w:customStyle="1" w:styleId="Default">
    <w:name w:val="Default"/>
    <w:rsid w:val="00DB0C9E"/>
    <w:pPr>
      <w:autoSpaceDE w:val="0"/>
      <w:autoSpaceDN w:val="0"/>
      <w:adjustRightInd w:val="0"/>
    </w:pPr>
    <w:rPr>
      <w:rFonts w:ascii="Times New Roman" w:hAnsi="Times New Roman"/>
      <w:color w:val="000000"/>
      <w:sz w:val="24"/>
      <w:szCs w:val="24"/>
    </w:rPr>
  </w:style>
  <w:style w:type="character" w:customStyle="1" w:styleId="luchili">
    <w:name w:val="luc_hili"/>
    <w:basedOn w:val="Domylnaczcionkaakapitu"/>
    <w:rsid w:val="008123C7"/>
  </w:style>
  <w:style w:type="paragraph" w:customStyle="1" w:styleId="ARTartustawynprozporzdzenia">
    <w:name w:val="ART(§) – art. ustawy (§ np. rozporządzenia)"/>
    <w:uiPriority w:val="11"/>
    <w:qFormat/>
    <w:rsid w:val="00045B24"/>
    <w:pPr>
      <w:suppressAutoHyphens/>
      <w:autoSpaceDE w:val="0"/>
      <w:autoSpaceDN w:val="0"/>
      <w:adjustRightInd w:val="0"/>
      <w:spacing w:before="120" w:line="360" w:lineRule="auto"/>
      <w:ind w:firstLine="510"/>
      <w:jc w:val="both"/>
    </w:pPr>
    <w:rPr>
      <w:rFonts w:ascii="Times" w:eastAsiaTheme="minorEastAsia" w:hAnsi="Times" w:cs="Arial"/>
      <w:sz w:val="24"/>
    </w:rPr>
  </w:style>
  <w:style w:type="character" w:customStyle="1" w:styleId="IGindeksgrny">
    <w:name w:val="_IG_ – indeks górny"/>
    <w:basedOn w:val="Domylnaczcionkaakapitu"/>
    <w:uiPriority w:val="2"/>
    <w:qFormat/>
    <w:rsid w:val="00045B24"/>
    <w:rPr>
      <w:b w:val="0"/>
      <w:i w:val="0"/>
      <w:vanish w:val="0"/>
      <w:spacing w:val="0"/>
      <w:vertAlign w:val="superscript"/>
    </w:rPr>
  </w:style>
  <w:style w:type="paragraph" w:styleId="Tytu">
    <w:name w:val="Title"/>
    <w:basedOn w:val="Normalny"/>
    <w:next w:val="Normalny"/>
    <w:link w:val="TytuZnak"/>
    <w:uiPriority w:val="10"/>
    <w:qFormat/>
    <w:rsid w:val="007768A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7768A2"/>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Nagwek1Znak">
    <w:name w:val="Nagłówek 1 Znak"/>
    <w:basedOn w:val="Domylnaczcionkaakapitu"/>
    <w:link w:val="Nagwek1"/>
    <w:rsid w:val="00020B68"/>
    <w:rPr>
      <w:rFonts w:ascii="Arial" w:eastAsia="Times New Roman" w:hAnsi="Arial" w:cs="Arial"/>
      <w:b/>
      <w:bCs/>
      <w:kern w:val="32"/>
      <w:sz w:val="32"/>
      <w:szCs w:val="32"/>
    </w:rPr>
  </w:style>
  <w:style w:type="paragraph" w:styleId="Poprawka">
    <w:name w:val="Revision"/>
    <w:hidden/>
    <w:uiPriority w:val="99"/>
    <w:semiHidden/>
    <w:rsid w:val="001B5C0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211039242">
      <w:bodyDiv w:val="1"/>
      <w:marLeft w:val="0"/>
      <w:marRight w:val="0"/>
      <w:marTop w:val="0"/>
      <w:marBottom w:val="0"/>
      <w:divBdr>
        <w:top w:val="none" w:sz="0" w:space="0" w:color="auto"/>
        <w:left w:val="none" w:sz="0" w:space="0" w:color="auto"/>
        <w:bottom w:val="none" w:sz="0" w:space="0" w:color="auto"/>
        <w:right w:val="none" w:sz="0" w:space="0" w:color="auto"/>
      </w:divBdr>
      <w:divsChild>
        <w:div w:id="322777675">
          <w:marLeft w:val="0"/>
          <w:marRight w:val="0"/>
          <w:marTop w:val="0"/>
          <w:marBottom w:val="0"/>
          <w:divBdr>
            <w:top w:val="none" w:sz="0" w:space="0" w:color="auto"/>
            <w:left w:val="none" w:sz="0" w:space="0" w:color="auto"/>
            <w:bottom w:val="none" w:sz="0" w:space="0" w:color="auto"/>
            <w:right w:val="none" w:sz="0" w:space="0" w:color="auto"/>
          </w:divBdr>
        </w:div>
      </w:divsChild>
    </w:div>
    <w:div w:id="217251936">
      <w:bodyDiv w:val="1"/>
      <w:marLeft w:val="0"/>
      <w:marRight w:val="0"/>
      <w:marTop w:val="0"/>
      <w:marBottom w:val="0"/>
      <w:divBdr>
        <w:top w:val="none" w:sz="0" w:space="0" w:color="auto"/>
        <w:left w:val="none" w:sz="0" w:space="0" w:color="auto"/>
        <w:bottom w:val="none" w:sz="0" w:space="0" w:color="auto"/>
        <w:right w:val="none" w:sz="0" w:space="0" w:color="auto"/>
      </w:divBdr>
    </w:div>
    <w:div w:id="417870000">
      <w:bodyDiv w:val="1"/>
      <w:marLeft w:val="0"/>
      <w:marRight w:val="0"/>
      <w:marTop w:val="0"/>
      <w:marBottom w:val="0"/>
      <w:divBdr>
        <w:top w:val="none" w:sz="0" w:space="0" w:color="auto"/>
        <w:left w:val="none" w:sz="0" w:space="0" w:color="auto"/>
        <w:bottom w:val="none" w:sz="0" w:space="0" w:color="auto"/>
        <w:right w:val="none" w:sz="0" w:space="0" w:color="auto"/>
      </w:divBdr>
      <w:divsChild>
        <w:div w:id="2059546418">
          <w:marLeft w:val="0"/>
          <w:marRight w:val="0"/>
          <w:marTop w:val="0"/>
          <w:marBottom w:val="0"/>
          <w:divBdr>
            <w:top w:val="none" w:sz="0" w:space="0" w:color="auto"/>
            <w:left w:val="none" w:sz="0" w:space="0" w:color="auto"/>
            <w:bottom w:val="none" w:sz="0" w:space="0" w:color="auto"/>
            <w:right w:val="none" w:sz="0" w:space="0" w:color="auto"/>
          </w:divBdr>
        </w:div>
      </w:divsChild>
    </w:div>
    <w:div w:id="592477473">
      <w:bodyDiv w:val="1"/>
      <w:marLeft w:val="0"/>
      <w:marRight w:val="0"/>
      <w:marTop w:val="0"/>
      <w:marBottom w:val="0"/>
      <w:divBdr>
        <w:top w:val="none" w:sz="0" w:space="0" w:color="auto"/>
        <w:left w:val="none" w:sz="0" w:space="0" w:color="auto"/>
        <w:bottom w:val="none" w:sz="0" w:space="0" w:color="auto"/>
        <w:right w:val="none" w:sz="0" w:space="0" w:color="auto"/>
      </w:divBdr>
      <w:divsChild>
        <w:div w:id="1425295963">
          <w:marLeft w:val="0"/>
          <w:marRight w:val="0"/>
          <w:marTop w:val="0"/>
          <w:marBottom w:val="0"/>
          <w:divBdr>
            <w:top w:val="none" w:sz="0" w:space="0" w:color="auto"/>
            <w:left w:val="none" w:sz="0" w:space="0" w:color="auto"/>
            <w:bottom w:val="none" w:sz="0" w:space="0" w:color="auto"/>
            <w:right w:val="none" w:sz="0" w:space="0" w:color="auto"/>
          </w:divBdr>
        </w:div>
      </w:divsChild>
    </w:div>
    <w:div w:id="647321950">
      <w:bodyDiv w:val="1"/>
      <w:marLeft w:val="0"/>
      <w:marRight w:val="0"/>
      <w:marTop w:val="0"/>
      <w:marBottom w:val="0"/>
      <w:divBdr>
        <w:top w:val="none" w:sz="0" w:space="0" w:color="auto"/>
        <w:left w:val="none" w:sz="0" w:space="0" w:color="auto"/>
        <w:bottom w:val="none" w:sz="0" w:space="0" w:color="auto"/>
        <w:right w:val="none" w:sz="0" w:space="0" w:color="auto"/>
      </w:divBdr>
      <w:divsChild>
        <w:div w:id="630285794">
          <w:marLeft w:val="0"/>
          <w:marRight w:val="0"/>
          <w:marTop w:val="0"/>
          <w:marBottom w:val="0"/>
          <w:divBdr>
            <w:top w:val="none" w:sz="0" w:space="0" w:color="auto"/>
            <w:left w:val="none" w:sz="0" w:space="0" w:color="auto"/>
            <w:bottom w:val="none" w:sz="0" w:space="0" w:color="auto"/>
            <w:right w:val="none" w:sz="0" w:space="0" w:color="auto"/>
          </w:divBdr>
        </w:div>
      </w:divsChild>
    </w:div>
    <w:div w:id="726689232">
      <w:bodyDiv w:val="1"/>
      <w:marLeft w:val="0"/>
      <w:marRight w:val="0"/>
      <w:marTop w:val="0"/>
      <w:marBottom w:val="0"/>
      <w:divBdr>
        <w:top w:val="none" w:sz="0" w:space="0" w:color="auto"/>
        <w:left w:val="none" w:sz="0" w:space="0" w:color="auto"/>
        <w:bottom w:val="none" w:sz="0" w:space="0" w:color="auto"/>
        <w:right w:val="none" w:sz="0" w:space="0" w:color="auto"/>
      </w:divBdr>
      <w:divsChild>
        <w:div w:id="724644772">
          <w:marLeft w:val="0"/>
          <w:marRight w:val="0"/>
          <w:marTop w:val="0"/>
          <w:marBottom w:val="0"/>
          <w:divBdr>
            <w:top w:val="none" w:sz="0" w:space="0" w:color="auto"/>
            <w:left w:val="none" w:sz="0" w:space="0" w:color="auto"/>
            <w:bottom w:val="none" w:sz="0" w:space="0" w:color="auto"/>
            <w:right w:val="none" w:sz="0" w:space="0" w:color="auto"/>
          </w:divBdr>
        </w:div>
      </w:divsChild>
    </w:div>
    <w:div w:id="763497795">
      <w:bodyDiv w:val="1"/>
      <w:marLeft w:val="0"/>
      <w:marRight w:val="0"/>
      <w:marTop w:val="0"/>
      <w:marBottom w:val="0"/>
      <w:divBdr>
        <w:top w:val="none" w:sz="0" w:space="0" w:color="auto"/>
        <w:left w:val="none" w:sz="0" w:space="0" w:color="auto"/>
        <w:bottom w:val="none" w:sz="0" w:space="0" w:color="auto"/>
        <w:right w:val="none" w:sz="0" w:space="0" w:color="auto"/>
      </w:divBdr>
      <w:divsChild>
        <w:div w:id="1881434140">
          <w:marLeft w:val="0"/>
          <w:marRight w:val="0"/>
          <w:marTop w:val="0"/>
          <w:marBottom w:val="0"/>
          <w:divBdr>
            <w:top w:val="none" w:sz="0" w:space="0" w:color="auto"/>
            <w:left w:val="none" w:sz="0" w:space="0" w:color="auto"/>
            <w:bottom w:val="none" w:sz="0" w:space="0" w:color="auto"/>
            <w:right w:val="none" w:sz="0" w:space="0" w:color="auto"/>
          </w:divBdr>
        </w:div>
      </w:divsChild>
    </w:div>
    <w:div w:id="816217105">
      <w:bodyDiv w:val="1"/>
      <w:marLeft w:val="0"/>
      <w:marRight w:val="0"/>
      <w:marTop w:val="0"/>
      <w:marBottom w:val="0"/>
      <w:divBdr>
        <w:top w:val="none" w:sz="0" w:space="0" w:color="auto"/>
        <w:left w:val="none" w:sz="0" w:space="0" w:color="auto"/>
        <w:bottom w:val="none" w:sz="0" w:space="0" w:color="auto"/>
        <w:right w:val="none" w:sz="0" w:space="0" w:color="auto"/>
      </w:divBdr>
      <w:divsChild>
        <w:div w:id="1242444031">
          <w:marLeft w:val="0"/>
          <w:marRight w:val="0"/>
          <w:marTop w:val="0"/>
          <w:marBottom w:val="0"/>
          <w:divBdr>
            <w:top w:val="none" w:sz="0" w:space="0" w:color="auto"/>
            <w:left w:val="none" w:sz="0" w:space="0" w:color="auto"/>
            <w:bottom w:val="none" w:sz="0" w:space="0" w:color="auto"/>
            <w:right w:val="none" w:sz="0" w:space="0" w:color="auto"/>
          </w:divBdr>
        </w:div>
      </w:divsChild>
    </w:div>
    <w:div w:id="846097501">
      <w:bodyDiv w:val="1"/>
      <w:marLeft w:val="0"/>
      <w:marRight w:val="0"/>
      <w:marTop w:val="0"/>
      <w:marBottom w:val="0"/>
      <w:divBdr>
        <w:top w:val="none" w:sz="0" w:space="0" w:color="auto"/>
        <w:left w:val="none" w:sz="0" w:space="0" w:color="auto"/>
        <w:bottom w:val="none" w:sz="0" w:space="0" w:color="auto"/>
        <w:right w:val="none" w:sz="0" w:space="0" w:color="auto"/>
      </w:divBdr>
    </w:div>
    <w:div w:id="866799953">
      <w:bodyDiv w:val="1"/>
      <w:marLeft w:val="0"/>
      <w:marRight w:val="0"/>
      <w:marTop w:val="0"/>
      <w:marBottom w:val="0"/>
      <w:divBdr>
        <w:top w:val="none" w:sz="0" w:space="0" w:color="auto"/>
        <w:left w:val="none" w:sz="0" w:space="0" w:color="auto"/>
        <w:bottom w:val="none" w:sz="0" w:space="0" w:color="auto"/>
        <w:right w:val="none" w:sz="0" w:space="0" w:color="auto"/>
      </w:divBdr>
    </w:div>
    <w:div w:id="866913211">
      <w:bodyDiv w:val="1"/>
      <w:marLeft w:val="0"/>
      <w:marRight w:val="0"/>
      <w:marTop w:val="0"/>
      <w:marBottom w:val="0"/>
      <w:divBdr>
        <w:top w:val="none" w:sz="0" w:space="0" w:color="auto"/>
        <w:left w:val="none" w:sz="0" w:space="0" w:color="auto"/>
        <w:bottom w:val="none" w:sz="0" w:space="0" w:color="auto"/>
        <w:right w:val="none" w:sz="0" w:space="0" w:color="auto"/>
      </w:divBdr>
      <w:divsChild>
        <w:div w:id="1369531444">
          <w:marLeft w:val="0"/>
          <w:marRight w:val="0"/>
          <w:marTop w:val="0"/>
          <w:marBottom w:val="0"/>
          <w:divBdr>
            <w:top w:val="none" w:sz="0" w:space="0" w:color="auto"/>
            <w:left w:val="none" w:sz="0" w:space="0" w:color="auto"/>
            <w:bottom w:val="none" w:sz="0" w:space="0" w:color="auto"/>
            <w:right w:val="none" w:sz="0" w:space="0" w:color="auto"/>
          </w:divBdr>
        </w:div>
      </w:divsChild>
    </w:div>
    <w:div w:id="962928598">
      <w:bodyDiv w:val="1"/>
      <w:marLeft w:val="0"/>
      <w:marRight w:val="0"/>
      <w:marTop w:val="0"/>
      <w:marBottom w:val="0"/>
      <w:divBdr>
        <w:top w:val="none" w:sz="0" w:space="0" w:color="auto"/>
        <w:left w:val="none" w:sz="0" w:space="0" w:color="auto"/>
        <w:bottom w:val="none" w:sz="0" w:space="0" w:color="auto"/>
        <w:right w:val="none" w:sz="0" w:space="0" w:color="auto"/>
      </w:divBdr>
      <w:divsChild>
        <w:div w:id="2044864576">
          <w:marLeft w:val="0"/>
          <w:marRight w:val="0"/>
          <w:marTop w:val="0"/>
          <w:marBottom w:val="0"/>
          <w:divBdr>
            <w:top w:val="none" w:sz="0" w:space="0" w:color="auto"/>
            <w:left w:val="none" w:sz="0" w:space="0" w:color="auto"/>
            <w:bottom w:val="none" w:sz="0" w:space="0" w:color="auto"/>
            <w:right w:val="none" w:sz="0" w:space="0" w:color="auto"/>
          </w:divBdr>
        </w:div>
      </w:divsChild>
    </w:div>
    <w:div w:id="1203787438">
      <w:bodyDiv w:val="1"/>
      <w:marLeft w:val="0"/>
      <w:marRight w:val="0"/>
      <w:marTop w:val="0"/>
      <w:marBottom w:val="0"/>
      <w:divBdr>
        <w:top w:val="none" w:sz="0" w:space="0" w:color="auto"/>
        <w:left w:val="none" w:sz="0" w:space="0" w:color="auto"/>
        <w:bottom w:val="none" w:sz="0" w:space="0" w:color="auto"/>
        <w:right w:val="none" w:sz="0" w:space="0" w:color="auto"/>
      </w:divBdr>
      <w:divsChild>
        <w:div w:id="848833271">
          <w:marLeft w:val="0"/>
          <w:marRight w:val="0"/>
          <w:marTop w:val="0"/>
          <w:marBottom w:val="0"/>
          <w:divBdr>
            <w:top w:val="none" w:sz="0" w:space="0" w:color="auto"/>
            <w:left w:val="none" w:sz="0" w:space="0" w:color="auto"/>
            <w:bottom w:val="none" w:sz="0" w:space="0" w:color="auto"/>
            <w:right w:val="none" w:sz="0" w:space="0" w:color="auto"/>
          </w:divBdr>
        </w:div>
      </w:divsChild>
    </w:div>
    <w:div w:id="1509564390">
      <w:bodyDiv w:val="1"/>
      <w:marLeft w:val="0"/>
      <w:marRight w:val="0"/>
      <w:marTop w:val="0"/>
      <w:marBottom w:val="0"/>
      <w:divBdr>
        <w:top w:val="none" w:sz="0" w:space="0" w:color="auto"/>
        <w:left w:val="none" w:sz="0" w:space="0" w:color="auto"/>
        <w:bottom w:val="none" w:sz="0" w:space="0" w:color="auto"/>
        <w:right w:val="none" w:sz="0" w:space="0" w:color="auto"/>
      </w:divBdr>
      <w:divsChild>
        <w:div w:id="443773372">
          <w:marLeft w:val="0"/>
          <w:marRight w:val="0"/>
          <w:marTop w:val="0"/>
          <w:marBottom w:val="0"/>
          <w:divBdr>
            <w:top w:val="none" w:sz="0" w:space="0" w:color="auto"/>
            <w:left w:val="none" w:sz="0" w:space="0" w:color="auto"/>
            <w:bottom w:val="none" w:sz="0" w:space="0" w:color="auto"/>
            <w:right w:val="none" w:sz="0" w:space="0" w:color="auto"/>
          </w:divBdr>
        </w:div>
      </w:divsChild>
    </w:div>
    <w:div w:id="1559589421">
      <w:bodyDiv w:val="1"/>
      <w:marLeft w:val="0"/>
      <w:marRight w:val="0"/>
      <w:marTop w:val="0"/>
      <w:marBottom w:val="0"/>
      <w:divBdr>
        <w:top w:val="none" w:sz="0" w:space="0" w:color="auto"/>
        <w:left w:val="none" w:sz="0" w:space="0" w:color="auto"/>
        <w:bottom w:val="none" w:sz="0" w:space="0" w:color="auto"/>
        <w:right w:val="none" w:sz="0" w:space="0" w:color="auto"/>
      </w:divBdr>
      <w:divsChild>
        <w:div w:id="681933448">
          <w:marLeft w:val="0"/>
          <w:marRight w:val="0"/>
          <w:marTop w:val="0"/>
          <w:marBottom w:val="0"/>
          <w:divBdr>
            <w:top w:val="none" w:sz="0" w:space="0" w:color="auto"/>
            <w:left w:val="none" w:sz="0" w:space="0" w:color="auto"/>
            <w:bottom w:val="none" w:sz="0" w:space="0" w:color="auto"/>
            <w:right w:val="none" w:sz="0" w:space="0" w:color="auto"/>
          </w:divBdr>
        </w:div>
      </w:divsChild>
    </w:div>
    <w:div w:id="1682775631">
      <w:bodyDiv w:val="1"/>
      <w:marLeft w:val="0"/>
      <w:marRight w:val="0"/>
      <w:marTop w:val="0"/>
      <w:marBottom w:val="0"/>
      <w:divBdr>
        <w:top w:val="none" w:sz="0" w:space="0" w:color="auto"/>
        <w:left w:val="none" w:sz="0" w:space="0" w:color="auto"/>
        <w:bottom w:val="none" w:sz="0" w:space="0" w:color="auto"/>
        <w:right w:val="none" w:sz="0" w:space="0" w:color="auto"/>
      </w:divBdr>
      <w:divsChild>
        <w:div w:id="289895221">
          <w:marLeft w:val="0"/>
          <w:marRight w:val="0"/>
          <w:marTop w:val="0"/>
          <w:marBottom w:val="0"/>
          <w:divBdr>
            <w:top w:val="none" w:sz="0" w:space="0" w:color="auto"/>
            <w:left w:val="none" w:sz="0" w:space="0" w:color="auto"/>
            <w:bottom w:val="none" w:sz="0" w:space="0" w:color="auto"/>
            <w:right w:val="none" w:sz="0" w:space="0" w:color="auto"/>
          </w:divBdr>
        </w:div>
      </w:divsChild>
    </w:div>
    <w:div w:id="1795100923">
      <w:bodyDiv w:val="1"/>
      <w:marLeft w:val="0"/>
      <w:marRight w:val="0"/>
      <w:marTop w:val="0"/>
      <w:marBottom w:val="0"/>
      <w:divBdr>
        <w:top w:val="none" w:sz="0" w:space="0" w:color="auto"/>
        <w:left w:val="none" w:sz="0" w:space="0" w:color="auto"/>
        <w:bottom w:val="none" w:sz="0" w:space="0" w:color="auto"/>
        <w:right w:val="none" w:sz="0" w:space="0" w:color="auto"/>
      </w:divBdr>
      <w:divsChild>
        <w:div w:id="1954097594">
          <w:marLeft w:val="0"/>
          <w:marRight w:val="0"/>
          <w:marTop w:val="0"/>
          <w:marBottom w:val="0"/>
          <w:divBdr>
            <w:top w:val="none" w:sz="0" w:space="0" w:color="auto"/>
            <w:left w:val="none" w:sz="0" w:space="0" w:color="auto"/>
            <w:bottom w:val="none" w:sz="0" w:space="0" w:color="auto"/>
            <w:right w:val="none" w:sz="0" w:space="0" w:color="auto"/>
          </w:divBdr>
        </w:div>
      </w:divsChild>
    </w:div>
    <w:div w:id="1811902012">
      <w:bodyDiv w:val="1"/>
      <w:marLeft w:val="0"/>
      <w:marRight w:val="0"/>
      <w:marTop w:val="0"/>
      <w:marBottom w:val="0"/>
      <w:divBdr>
        <w:top w:val="none" w:sz="0" w:space="0" w:color="auto"/>
        <w:left w:val="none" w:sz="0" w:space="0" w:color="auto"/>
        <w:bottom w:val="none" w:sz="0" w:space="0" w:color="auto"/>
        <w:right w:val="none" w:sz="0" w:space="0" w:color="auto"/>
      </w:divBdr>
      <w:divsChild>
        <w:div w:id="1006054312">
          <w:marLeft w:val="0"/>
          <w:marRight w:val="0"/>
          <w:marTop w:val="0"/>
          <w:marBottom w:val="0"/>
          <w:divBdr>
            <w:top w:val="none" w:sz="0" w:space="0" w:color="auto"/>
            <w:left w:val="none" w:sz="0" w:space="0" w:color="auto"/>
            <w:bottom w:val="none" w:sz="0" w:space="0" w:color="auto"/>
            <w:right w:val="none" w:sz="0" w:space="0" w:color="auto"/>
          </w:divBdr>
        </w:div>
      </w:divsChild>
    </w:div>
    <w:div w:id="1862082620">
      <w:bodyDiv w:val="1"/>
      <w:marLeft w:val="0"/>
      <w:marRight w:val="0"/>
      <w:marTop w:val="0"/>
      <w:marBottom w:val="0"/>
      <w:divBdr>
        <w:top w:val="none" w:sz="0" w:space="0" w:color="auto"/>
        <w:left w:val="none" w:sz="0" w:space="0" w:color="auto"/>
        <w:bottom w:val="none" w:sz="0" w:space="0" w:color="auto"/>
        <w:right w:val="none" w:sz="0" w:space="0" w:color="auto"/>
      </w:divBdr>
    </w:div>
    <w:div w:id="2112584991">
      <w:bodyDiv w:val="1"/>
      <w:marLeft w:val="0"/>
      <w:marRight w:val="0"/>
      <w:marTop w:val="0"/>
      <w:marBottom w:val="0"/>
      <w:divBdr>
        <w:top w:val="none" w:sz="0" w:space="0" w:color="auto"/>
        <w:left w:val="none" w:sz="0" w:space="0" w:color="auto"/>
        <w:bottom w:val="none" w:sz="0" w:space="0" w:color="auto"/>
        <w:right w:val="none" w:sz="0" w:space="0" w:color="auto"/>
      </w:divBdr>
      <w:divsChild>
        <w:div w:id="855266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6AB27-3965-4E31-8D03-85346148A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8347</Characters>
  <Application>Microsoft Office Word</Application>
  <DocSecurity>0</DocSecurity>
  <Lines>69</Lines>
  <Paragraphs>19</Paragraphs>
  <ScaleCrop>false</ScaleCrop>
  <Company/>
  <LinksUpToDate>false</LinksUpToDate>
  <CharactersWithSpaces>9719</CharactersWithSpaces>
  <SharedDoc>false</SharedDoc>
  <HLinks>
    <vt:vector size="174" baseType="variant">
      <vt:variant>
        <vt:i4>6750315</vt:i4>
      </vt:variant>
      <vt:variant>
        <vt:i4>0</vt:i4>
      </vt:variant>
      <vt:variant>
        <vt:i4>0</vt:i4>
      </vt:variant>
      <vt:variant>
        <vt:i4>5</vt:i4>
      </vt:variant>
      <vt:variant>
        <vt:lpwstr>http://prawo.legeo.pl/prawo/akt-paryski-konwencji-bernenskiej-o-ochronie-dziel-literackich-i-artystycznych-sporzadzony-w-paryzu-dnia-24-lipca-1971-r/?on=04.08.2014</vt:lpwstr>
      </vt:variant>
      <vt:variant>
        <vt:lpwstr/>
      </vt:variant>
      <vt:variant>
        <vt:i4>1704052</vt:i4>
      </vt:variant>
      <vt:variant>
        <vt:i4>81</vt:i4>
      </vt:variant>
      <vt:variant>
        <vt:i4>0</vt:i4>
      </vt:variant>
      <vt:variant>
        <vt:i4>5</vt:i4>
      </vt:variant>
      <vt:variant>
        <vt:lpwstr>http://www.prawoautorskie.gov.pl/media/KSE_2014-03-05_-_Odp__Rzadu_RP_na_konsultacje_KE_-_przeglad_prawa_autorskiego.pdf</vt:lpwstr>
      </vt:variant>
      <vt:variant>
        <vt:lpwstr/>
      </vt:variant>
      <vt:variant>
        <vt:i4>5505149</vt:i4>
      </vt:variant>
      <vt:variant>
        <vt:i4>78</vt:i4>
      </vt:variant>
      <vt:variant>
        <vt:i4>0</vt:i4>
      </vt:variant>
      <vt:variant>
        <vt:i4>5</vt:i4>
      </vt:variant>
      <vt:variant>
        <vt:lpwstr>http://www.legifrance.gouv.fr/affichTexte.do;jsessionid=254A39437ABC5C8C26B5330FEA0ADBE8.tpdjo05v_1?cidTexte=JORFTEXT000025422700&amp;categorieLien=id</vt:lpwstr>
      </vt:variant>
      <vt:variant>
        <vt:lpwstr/>
      </vt:variant>
      <vt:variant>
        <vt:i4>6225940</vt:i4>
      </vt:variant>
      <vt:variant>
        <vt:i4>75</vt:i4>
      </vt:variant>
      <vt:variant>
        <vt:i4>0</vt:i4>
      </vt:variant>
      <vt:variant>
        <vt:i4>5</vt:i4>
      </vt:variant>
      <vt:variant>
        <vt:lpwstr>http://ec.europa.eu/internal_market/copyright/docs/copyright-infso/20110920-mou_en.pdf</vt:lpwstr>
      </vt:variant>
      <vt:variant>
        <vt:lpwstr/>
      </vt:variant>
      <vt:variant>
        <vt:i4>7077933</vt:i4>
      </vt:variant>
      <vt:variant>
        <vt:i4>72</vt:i4>
      </vt:variant>
      <vt:variant>
        <vt:i4>0</vt:i4>
      </vt:variant>
      <vt:variant>
        <vt:i4>5</vt:i4>
      </vt:variant>
      <vt:variant>
        <vt:lpwstr>http://ec.europa.eu/internal_market/copyright/docs/orphan-works/impact-assessment_en.pdf</vt:lpwstr>
      </vt:variant>
      <vt:variant>
        <vt:lpwstr/>
      </vt:variant>
      <vt:variant>
        <vt:i4>5767255</vt:i4>
      </vt:variant>
      <vt:variant>
        <vt:i4>69</vt:i4>
      </vt:variant>
      <vt:variant>
        <vt:i4>0</vt:i4>
      </vt:variant>
      <vt:variant>
        <vt:i4>5</vt:i4>
      </vt:variant>
      <vt:variant>
        <vt:lpwstr>http://www.plrinternational.com/</vt:lpwstr>
      </vt:variant>
      <vt:variant>
        <vt:lpwstr/>
      </vt:variant>
      <vt:variant>
        <vt:i4>6684723</vt:i4>
      </vt:variant>
      <vt:variant>
        <vt:i4>66</vt:i4>
      </vt:variant>
      <vt:variant>
        <vt:i4>0</vt:i4>
      </vt:variant>
      <vt:variant>
        <vt:i4>5</vt:i4>
      </vt:variant>
      <vt:variant>
        <vt:lpwstr>http://www.prawoautorskie.gov.pl/media/trzecie_forum/wyniki_konsultacji_/Stanowisko_koncowe_organizacji_bibliotekarskich.pdf</vt:lpwstr>
      </vt:variant>
      <vt:variant>
        <vt:lpwstr/>
      </vt:variant>
      <vt:variant>
        <vt:i4>2162717</vt:i4>
      </vt:variant>
      <vt:variant>
        <vt:i4>63</vt:i4>
      </vt:variant>
      <vt:variant>
        <vt:i4>0</vt:i4>
      </vt:variant>
      <vt:variant>
        <vt:i4>5</vt:i4>
      </vt:variant>
      <vt:variant>
        <vt:lpwstr>http://www.ifrro.org/sites/default/files/plr_around_the_world_feb_2012.pdf</vt:lpwstr>
      </vt:variant>
      <vt:variant>
        <vt:lpwstr/>
      </vt:variant>
      <vt:variant>
        <vt:i4>2162717</vt:i4>
      </vt:variant>
      <vt:variant>
        <vt:i4>60</vt:i4>
      </vt:variant>
      <vt:variant>
        <vt:i4>0</vt:i4>
      </vt:variant>
      <vt:variant>
        <vt:i4>5</vt:i4>
      </vt:variant>
      <vt:variant>
        <vt:lpwstr>http://www.ifrro.org/sites/default/files/plr_around_the_world_feb_2012.pdf</vt:lpwstr>
      </vt:variant>
      <vt:variant>
        <vt:lpwstr/>
      </vt:variant>
      <vt:variant>
        <vt:i4>5767255</vt:i4>
      </vt:variant>
      <vt:variant>
        <vt:i4>57</vt:i4>
      </vt:variant>
      <vt:variant>
        <vt:i4>0</vt:i4>
      </vt:variant>
      <vt:variant>
        <vt:i4>5</vt:i4>
      </vt:variant>
      <vt:variant>
        <vt:lpwstr>http://www.plrinternational.com/</vt:lpwstr>
      </vt:variant>
      <vt:variant>
        <vt:lpwstr/>
      </vt:variant>
      <vt:variant>
        <vt:i4>7143449</vt:i4>
      </vt:variant>
      <vt:variant>
        <vt:i4>54</vt:i4>
      </vt:variant>
      <vt:variant>
        <vt:i4>0</vt:i4>
      </vt:variant>
      <vt:variant>
        <vt:i4>5</vt:i4>
      </vt:variant>
      <vt:variant>
        <vt:lpwstr>http://www.mkidn.gov.pl/media/docs/2013/20131220_NPRCZ.pdf</vt:lpwstr>
      </vt:variant>
      <vt:variant>
        <vt:lpwstr/>
      </vt:variant>
      <vt:variant>
        <vt:i4>3735664</vt:i4>
      </vt:variant>
      <vt:variant>
        <vt:i4>51</vt:i4>
      </vt:variant>
      <vt:variant>
        <vt:i4>0</vt:i4>
      </vt:variant>
      <vt:variant>
        <vt:i4>5</vt:i4>
      </vt:variant>
      <vt:variant>
        <vt:lpwstr>http://www.bn.org.pl/zasoby-cyfrowe-i-linki/elektroniczne-publikacje-bn/biblioteki-publiczne-w-liczbach</vt:lpwstr>
      </vt:variant>
      <vt:variant>
        <vt:lpwstr/>
      </vt:variant>
      <vt:variant>
        <vt:i4>5767255</vt:i4>
      </vt:variant>
      <vt:variant>
        <vt:i4>48</vt:i4>
      </vt:variant>
      <vt:variant>
        <vt:i4>0</vt:i4>
      </vt:variant>
      <vt:variant>
        <vt:i4>5</vt:i4>
      </vt:variant>
      <vt:variant>
        <vt:lpwstr>http://www.plrinternational.com/</vt:lpwstr>
      </vt:variant>
      <vt:variant>
        <vt:lpwstr/>
      </vt:variant>
      <vt:variant>
        <vt:i4>1769558</vt:i4>
      </vt:variant>
      <vt:variant>
        <vt:i4>45</vt:i4>
      </vt:variant>
      <vt:variant>
        <vt:i4>0</vt:i4>
      </vt:variant>
      <vt:variant>
        <vt:i4>5</vt:i4>
      </vt:variant>
      <vt:variant>
        <vt:lpwstr>http://www.mkidn.gov.pl/media/docs/2013/20131220__NPRCZ.pdf</vt:lpwstr>
      </vt:variant>
      <vt:variant>
        <vt:lpwstr/>
      </vt:variant>
      <vt:variant>
        <vt:i4>8323118</vt:i4>
      </vt:variant>
      <vt:variant>
        <vt:i4>42</vt:i4>
      </vt:variant>
      <vt:variant>
        <vt:i4>0</vt:i4>
      </vt:variant>
      <vt:variant>
        <vt:i4>5</vt:i4>
      </vt:variant>
      <vt:variant>
        <vt:lpwstr>http://portal.unesco.org/en/ev.php-URL_ID=13068&amp;URL_DO=DO_TOPIC&amp;URL_SECTION=201.html</vt:lpwstr>
      </vt:variant>
      <vt:variant>
        <vt:lpwstr/>
      </vt:variant>
      <vt:variant>
        <vt:i4>2031626</vt:i4>
      </vt:variant>
      <vt:variant>
        <vt:i4>39</vt:i4>
      </vt:variant>
      <vt:variant>
        <vt:i4>0</vt:i4>
      </vt:variant>
      <vt:variant>
        <vt:i4>5</vt:i4>
      </vt:variant>
      <vt:variant>
        <vt:lpwstr>http://www.bn.org.pl/download/document/1395236740.pdf</vt:lpwstr>
      </vt:variant>
      <vt:variant>
        <vt:lpwstr/>
      </vt:variant>
      <vt:variant>
        <vt:i4>5767255</vt:i4>
      </vt:variant>
      <vt:variant>
        <vt:i4>36</vt:i4>
      </vt:variant>
      <vt:variant>
        <vt:i4>0</vt:i4>
      </vt:variant>
      <vt:variant>
        <vt:i4>5</vt:i4>
      </vt:variant>
      <vt:variant>
        <vt:lpwstr>http://www.plrinternational.com/</vt:lpwstr>
      </vt:variant>
      <vt:variant>
        <vt:lpwstr/>
      </vt:variant>
      <vt:variant>
        <vt:i4>2031626</vt:i4>
      </vt:variant>
      <vt:variant>
        <vt:i4>33</vt:i4>
      </vt:variant>
      <vt:variant>
        <vt:i4>0</vt:i4>
      </vt:variant>
      <vt:variant>
        <vt:i4>5</vt:i4>
      </vt:variant>
      <vt:variant>
        <vt:lpwstr>http://www.bn.org.pl/download/document/1395236740.pdf</vt:lpwstr>
      </vt:variant>
      <vt:variant>
        <vt:lpwstr/>
      </vt:variant>
      <vt:variant>
        <vt:i4>5767255</vt:i4>
      </vt:variant>
      <vt:variant>
        <vt:i4>30</vt:i4>
      </vt:variant>
      <vt:variant>
        <vt:i4>0</vt:i4>
      </vt:variant>
      <vt:variant>
        <vt:i4>5</vt:i4>
      </vt:variant>
      <vt:variant>
        <vt:lpwstr>http://www.plrinternational.com/</vt:lpwstr>
      </vt:variant>
      <vt:variant>
        <vt:lpwstr/>
      </vt:variant>
      <vt:variant>
        <vt:i4>3735664</vt:i4>
      </vt:variant>
      <vt:variant>
        <vt:i4>27</vt:i4>
      </vt:variant>
      <vt:variant>
        <vt:i4>0</vt:i4>
      </vt:variant>
      <vt:variant>
        <vt:i4>5</vt:i4>
      </vt:variant>
      <vt:variant>
        <vt:lpwstr>http://www.bn.org.pl/zasoby-cyfrowe-i-linki/elektroniczne-publikacje-bn/biblioteki-publiczne-w-liczbach</vt:lpwstr>
      </vt:variant>
      <vt:variant>
        <vt:lpwstr/>
      </vt:variant>
      <vt:variant>
        <vt:i4>5767255</vt:i4>
      </vt:variant>
      <vt:variant>
        <vt:i4>24</vt:i4>
      </vt:variant>
      <vt:variant>
        <vt:i4>0</vt:i4>
      </vt:variant>
      <vt:variant>
        <vt:i4>5</vt:i4>
      </vt:variant>
      <vt:variant>
        <vt:lpwstr>http://www.plrinternational.com/</vt:lpwstr>
      </vt:variant>
      <vt:variant>
        <vt:lpwstr/>
      </vt:variant>
      <vt:variant>
        <vt:i4>6619170</vt:i4>
      </vt:variant>
      <vt:variant>
        <vt:i4>21</vt:i4>
      </vt:variant>
      <vt:variant>
        <vt:i4>0</vt:i4>
      </vt:variant>
      <vt:variant>
        <vt:i4>5</vt:i4>
      </vt:variant>
      <vt:variant>
        <vt:lpwstr>http://www.ivir.nl/publications/guibault/InfoSoc_Study_2007.pdf</vt:lpwstr>
      </vt:variant>
      <vt:variant>
        <vt:lpwstr/>
      </vt:variant>
      <vt:variant>
        <vt:i4>393281</vt:i4>
      </vt:variant>
      <vt:variant>
        <vt:i4>18</vt:i4>
      </vt:variant>
      <vt:variant>
        <vt:i4>0</vt:i4>
      </vt:variant>
      <vt:variant>
        <vt:i4>5</vt:i4>
      </vt:variant>
      <vt:variant>
        <vt:lpwstr>http://www.prawoautorskie.gov.pl/media/warsztaty_/traple_(1).pdf</vt:lpwstr>
      </vt:variant>
      <vt:variant>
        <vt:lpwstr/>
      </vt:variant>
      <vt:variant>
        <vt:i4>786457</vt:i4>
      </vt:variant>
      <vt:variant>
        <vt:i4>15</vt:i4>
      </vt:variant>
      <vt:variant>
        <vt:i4>0</vt:i4>
      </vt:variant>
      <vt:variant>
        <vt:i4>5</vt:i4>
      </vt:variant>
      <vt:variant>
        <vt:lpwstr>http://www.prawoautorskie.gov.pl/pages/posts/rozpoczely-sie-konsultacje-dotyczace-dozwolonego-uzytku-publicznego-210.php</vt:lpwstr>
      </vt:variant>
      <vt:variant>
        <vt:lpwstr/>
      </vt:variant>
      <vt:variant>
        <vt:i4>4390981</vt:i4>
      </vt:variant>
      <vt:variant>
        <vt:i4>12</vt:i4>
      </vt:variant>
      <vt:variant>
        <vt:i4>0</vt:i4>
      </vt:variant>
      <vt:variant>
        <vt:i4>5</vt:i4>
      </vt:variant>
      <vt:variant>
        <vt:lpwstr>http://www.admin.ch/opc/fr/classified-compilation/19920251/201101010000/231.1.pdf</vt:lpwstr>
      </vt:variant>
      <vt:variant>
        <vt:lpwstr/>
      </vt:variant>
      <vt:variant>
        <vt:i4>5570655</vt:i4>
      </vt:variant>
      <vt:variant>
        <vt:i4>9</vt:i4>
      </vt:variant>
      <vt:variant>
        <vt:i4>0</vt:i4>
      </vt:variant>
      <vt:variant>
        <vt:i4>5</vt:i4>
      </vt:variant>
      <vt:variant>
        <vt:lpwstr>http://www.europarl.europa.eu/sides/getDoc.do?pubRef=-//EP//TEXT+TA+P7-TA-2010-0438+0+DOC+XML+V0//PL</vt:lpwstr>
      </vt:variant>
      <vt:variant>
        <vt:lpwstr/>
      </vt:variant>
      <vt:variant>
        <vt:i4>2752622</vt:i4>
      </vt:variant>
      <vt:variant>
        <vt:i4>6</vt:i4>
      </vt:variant>
      <vt:variant>
        <vt:i4>0</vt:i4>
      </vt:variant>
      <vt:variant>
        <vt:i4>5</vt:i4>
      </vt:variant>
      <vt:variant>
        <vt:lpwstr>https://wcd.coe.int/ViewDoc.jsp?id=418885&amp;Site=CM&amp;BackColorInternet=9999CC&amp;BackColorIntranet=FFBB55&amp;BackColorLogged=FFAC75</vt:lpwstr>
      </vt:variant>
      <vt:variant>
        <vt:lpwstr/>
      </vt:variant>
      <vt:variant>
        <vt:i4>1704052</vt:i4>
      </vt:variant>
      <vt:variant>
        <vt:i4>3</vt:i4>
      </vt:variant>
      <vt:variant>
        <vt:i4>0</vt:i4>
      </vt:variant>
      <vt:variant>
        <vt:i4>5</vt:i4>
      </vt:variant>
      <vt:variant>
        <vt:lpwstr>http://www.prawoautorskie.gov.pl/media/KSE_2014-03-05_-_Odp__Rzadu_RP_na_konsultacje_KE_-_przeglad_prawa_autorskiego.pdf</vt:lpwstr>
      </vt:variant>
      <vt:variant>
        <vt:lpwstr/>
      </vt:variant>
      <vt:variant>
        <vt:i4>7929886</vt:i4>
      </vt:variant>
      <vt:variant>
        <vt:i4>0</vt:i4>
      </vt:variant>
      <vt:variant>
        <vt:i4>0</vt:i4>
      </vt:variant>
      <vt:variant>
        <vt:i4>5</vt:i4>
      </vt:variant>
      <vt:variant>
        <vt:lpwstr>http://www.prawoautorskie.gov.pl/media/Realizacja_ustawy_o_prawie_autorskim_2013.pdf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2026-08-20T08:10:00Z</dcterms:created>
  <dcterms:modified xsi:type="dcterms:W3CDTF">2026-08-20T08:10:00Z</dcterms:modified>
</cp:coreProperties>
</file>