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B2C55" w:rsidRPr="00612C37" w:rsidRDefault="00000000" w:rsidP="001C7E0F">
      <w:pPr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pl-PL"/>
        </w:rPr>
      </w:pPr>
      <w:r w:rsidRPr="00612C3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pl-PL"/>
        </w:rPr>
        <w:t>projekt</w:t>
      </w:r>
    </w:p>
    <w:p w14:paraId="00000002" w14:textId="77777777" w:rsidR="006B2C55" w:rsidRPr="00612C37" w:rsidRDefault="006B2C55" w:rsidP="001C7E0F">
      <w:pPr>
        <w:jc w:val="right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0000003" w14:textId="77777777" w:rsidR="006B2C55" w:rsidRPr="00612C37" w:rsidRDefault="00000000" w:rsidP="001C7E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USTAWA</w:t>
      </w:r>
    </w:p>
    <w:p w14:paraId="00000004" w14:textId="77777777" w:rsidR="006B2C55" w:rsidRPr="00612C37" w:rsidRDefault="00000000" w:rsidP="001C7E0F">
      <w:pPr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z dnia …</w:t>
      </w:r>
    </w:p>
    <w:p w14:paraId="00000005" w14:textId="77777777" w:rsidR="006B2C55" w:rsidRPr="00612C37" w:rsidRDefault="00000000" w:rsidP="001C7E0F">
      <w:pPr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o zmianie ustawy o elektromobilności i paliwach alternatywnych</w:t>
      </w:r>
    </w:p>
    <w:p w14:paraId="00000006" w14:textId="77777777" w:rsidR="006B2C55" w:rsidRPr="00612C37" w:rsidRDefault="006B2C55" w:rsidP="001C7E0F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0000007" w14:textId="77777777" w:rsidR="006B2C55" w:rsidRPr="00612C37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Art. 1. </w:t>
      </w: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W ustawie z dnia 11 stycznia 2018 r. o elektromobilności i paliwach alternatywnych (Dz. U. z 2024 r. poz. 1289, 1853 i 1881) w art. 39 w ust. 6 w pkt 6 kropkę zastępuje się średnikiem i dodaje się pkt 7 w brzmieniu:</w:t>
      </w:r>
    </w:p>
    <w:p w14:paraId="00000008" w14:textId="0C8409AA" w:rsidR="006B2C55" w:rsidRPr="00612C37" w:rsidRDefault="00000000" w:rsidP="001C7E0F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„7)</w:t>
      </w: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finansowania zadań</w:t>
      </w:r>
      <w:r w:rsidR="00344079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="00344079" w:rsidRPr="00344079">
        <w:rPr>
          <w:rFonts w:ascii="Times New Roman" w:eastAsia="Times New Roman" w:hAnsi="Times New Roman" w:cs="Times New Roman"/>
          <w:sz w:val="24"/>
          <w:szCs w:val="24"/>
          <w:lang w:val="pl-PL"/>
        </w:rPr>
        <w:t>własnych gminy w zakresie lokalnego transportu zbiorowego</w:t>
      </w: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, o których mowa w art. 7 ust. 1 pkt 4 ustawy z dnia 8 marca 1990 r. o samorządzie gminnym (Dz. U. z 2026 r. poz. 662).”.</w:t>
      </w:r>
    </w:p>
    <w:p w14:paraId="00000009" w14:textId="77777777" w:rsidR="006B2C55" w:rsidRPr="00612C37" w:rsidRDefault="006B2C55" w:rsidP="001C7E0F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000000A" w14:textId="77777777" w:rsidR="006B2C55" w:rsidRPr="00612C37" w:rsidRDefault="00000000" w:rsidP="001C7E0F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612C37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Art. 2. </w:t>
      </w: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Ustawa wchodzi w życie po upływie 14 dni od dnia ogłoszenia.</w:t>
      </w:r>
    </w:p>
    <w:p w14:paraId="0000000B" w14:textId="77777777" w:rsidR="006B2C55" w:rsidRPr="00612C37" w:rsidRDefault="006B2C55" w:rsidP="001C7E0F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000000C" w14:textId="77777777" w:rsidR="006B2C55" w:rsidRPr="00612C37" w:rsidRDefault="00000000" w:rsidP="001C7E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612C37">
        <w:rPr>
          <w:lang w:val="pl-PL"/>
        </w:rPr>
        <w:br w:type="page"/>
      </w:r>
    </w:p>
    <w:p w14:paraId="0000000D" w14:textId="77777777" w:rsidR="006B2C55" w:rsidRPr="00612C37" w:rsidRDefault="00000000" w:rsidP="001C7E0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UZASADNIENIE</w:t>
      </w:r>
    </w:p>
    <w:p w14:paraId="0000000E" w14:textId="77777777" w:rsidR="006B2C55" w:rsidRPr="00612C37" w:rsidRDefault="006B2C55" w:rsidP="001C7E0F">
      <w:pPr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000000F" w14:textId="77777777" w:rsidR="006B2C55" w:rsidRPr="00612C37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Zgodnie z ustawą z dnia 11 stycznia 2018 r. o elektromobilności i paliwach alternatywnych gmina może ustanowić strefę czystego transportu (SCT) w celu ograniczenia negatywnego oddziaływania emisji zanieczyszczeń z transportu na zdrowie ludzi i środowisko. Do tej pory strefy czystego transportu powstały jedynie w czterech polskich miastach: Krakowie, Warszawie, Katowicach i Szczecinie.</w:t>
      </w:r>
    </w:p>
    <w:p w14:paraId="00000010" w14:textId="77777777" w:rsidR="006B2C55" w:rsidRPr="00612C37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Zasady ustanawiania i funkcjonowania SCT zostały określone w art. 39 i 40 ustawy o elektromobilności i paliwach alternatywnych. Szczegółowe zasady jej działania zależą od władz gminy, które ustalają m.in. granice obszaru SCT, sposób organizacji ruchu, wyłączenia podmiotowe i przedmiotowe od zakazu wjazdu do strefy oraz wysokość opłaty za wjazd do strefy pojazdów niespełniających wymagań. Opłata ta stanowi dochód własny gminy, który może być wykorzystany wyłącznie na potrzeby wskazane w art. 39 ust. 6 ustawy, tj. oznakowanie strefy czystego transportu, zakup autobusów zeroemisyjnych, zakup tramwajów, zakup innych środków transportu zbiorowego oraz finansowanie programów wsparcia zakupu rowerów elektrycznych.</w:t>
      </w:r>
    </w:p>
    <w:p w14:paraId="00000011" w14:textId="2AFD3CBD" w:rsidR="006B2C55" w:rsidRPr="00612C37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Projekt ustawy dodaje do katalogu tych potrzeb finansowanie zadań</w:t>
      </w:r>
      <w:r w:rsidR="00EA4EA8" w:rsidRPr="00EA4EA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własnych gminy w zakresie lokalnego transportu zbiorowego</w:t>
      </w: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, o których mowa w art. 7 ust. 1 pkt 4 ustawy z dnia 8 marca 1990 r. o samorządzie gminnym, czyli związanych z zaspokajaniem zbiorowych potrzeb wspólnoty samorządowej w zakresie lokalnego transportu zbiorowego.</w:t>
      </w:r>
    </w:p>
    <w:p w14:paraId="41DF1D97" w14:textId="3C4C8EFC" w:rsidR="001C7E0F" w:rsidRDefault="001C7E0F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E0F">
        <w:rPr>
          <w:rFonts w:ascii="Times New Roman" w:eastAsia="Times New Roman" w:hAnsi="Times New Roman" w:cs="Times New Roman"/>
          <w:sz w:val="24"/>
          <w:szCs w:val="24"/>
          <w:lang w:val="pl-PL"/>
        </w:rPr>
        <w:t>Obecny katalog obejmuje przede wszystkim wydatki inwestycyjne związane z zakupem środków transportu zbiorowego. Nie pozwala natomiast na przeznaczanie dochodów z opłat na pozostałe koszty realizacji przez gminę zadania własnego w zakresie lokalnego transportu zbiorowego. Dotyczy to w szczególności kosztów organizowania przewozów o charakterze użyteczności publicznej, zakupu usług przewozowych, uruchamiania nowych połączeń oraz zwiększania częstotliwości już funkcjonujących połączeń. Projektowany pkt 7 umożliwi finansowanie tych wydatków, wykraczając poza wskazane obecnie w art. 39 ust. 6 pkt 2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-</w:t>
      </w:r>
      <w:r w:rsidRPr="001C7E0F">
        <w:rPr>
          <w:rFonts w:ascii="Times New Roman" w:eastAsia="Times New Roman" w:hAnsi="Times New Roman" w:cs="Times New Roman"/>
          <w:sz w:val="24"/>
          <w:szCs w:val="24"/>
          <w:lang w:val="pl-PL"/>
        </w:rPr>
        <w:t>4 wydatki na zakup środków transportu zbiorowego.</w:t>
      </w:r>
    </w:p>
    <w:p w14:paraId="00000012" w14:textId="58474997" w:rsidR="006B2C55" w:rsidRPr="00612C37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Należy zwrócić uwagę, że rządowy projekt ustawy o elektromobilności i paliwach alternatywnych wniesiony do Sejmu w dniu 4 stycznia 2018 r. (druk nr 2147 w VIII kadencji Sejmu) wskazywał jedynie, że opłata za wjazd do SCT pojazdu samochodowego niespełniającego wymagań będzie stanowić dochód gminy, a ostatecznie przyjęty tekst ustawy pierwotnie nie regulował kwestii opłat w żaden sposób. Ograniczenie sposobu, w jaki wykorzystane mogą zostać wpływy z opłat, zostało wprowadzone dopiero ustawą z dnia 6 czerwca 2018 r. o zmianie ustawy o biokomponentach i biopaliwach ciekłych oraz niektórych innych ustaw, a katalog potrzeb został następnie rozszerzony ustawą z dnia 2 grudnia 2021 r. o zmianie ustawy o elektromobilności i paliwach alternatywnych oraz niektórych innych ustaw. W uzasadnieniu do drugiej ze wspomnianych nowelizacji wskazano, że katalog obejmuje „obszary związane z rozwojem ekologicznego transportu, który przyczynia się do poprawy jakości powietrza”.</w:t>
      </w:r>
    </w:p>
    <w:p w14:paraId="7ED8D1F7" w14:textId="77777777" w:rsidR="001C7E0F" w:rsidRDefault="001C7E0F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E0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Zaproponowane w projekcie ustawy rozszerzenie katalogu o finansowanie zadań własnych gminy w zakresie lokalnego transportu zbiorowego ma na celu zwiększenie swobody gmin w </w:t>
      </w:r>
      <w:r w:rsidRPr="001C7E0F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>wykorzystywaniu środków pochodzących z opłat za wjazd do strefy czystego transportu. Gminy będą mogły przeznaczać te środki nie tylko na zakup taboru, lecz także na organizowanie i bieżące funkcjonowanie lokalnego transportu zbiorowego. Pozwoli to w szczególności na poprawę dostępności komunikacji publicznej, uruchamianie nowych połączeń oraz zwiększanie częstotliwości przewozów.</w:t>
      </w:r>
      <w:r w:rsidRPr="001C7E0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2DFE3B00" w14:textId="77777777" w:rsidR="001C7E0F" w:rsidRDefault="001C7E0F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E0F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Rozwój oferty lokalnego transportu zbiorowego może ograniczać korzystanie z indywidualnego transportu samochodowego, a tym samym przyczyniać się do ograniczenia emisji zanieczyszczeń transportowych. Projekt zachowuje zatem związek między sposobem wykorzystania dochodów z opłat a celem ustanawiania stref czystego transportu, którym jest ograniczenie negatywnego oddziaływania emisji z transportu na zdrowie ludzi i środowisko. </w:t>
      </w:r>
    </w:p>
    <w:p w14:paraId="03622679" w14:textId="7C679CFB" w:rsidR="001C7E0F" w:rsidRPr="001C7E0F" w:rsidRDefault="001C7E0F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C7E0F">
        <w:rPr>
          <w:rFonts w:ascii="Times New Roman" w:eastAsia="Times New Roman" w:hAnsi="Times New Roman" w:cs="Times New Roman"/>
          <w:sz w:val="24"/>
          <w:szCs w:val="24"/>
          <w:lang w:val="pl-PL"/>
        </w:rPr>
        <w:t>Projekt nie wprowadza nowych obciążeń finansowych ani nie zwiększa wpływów z opłat, lecz rozszerza dopuszczalny sposób wykorzystania już uzyskiwanych dochodów.</w:t>
      </w:r>
    </w:p>
    <w:p w14:paraId="00000014" w14:textId="1E821127" w:rsidR="006B2C55" w:rsidRPr="00612C37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Nie ma możliwości podjęcia alternatywnych w stosunku do nowelizacji ustawy środków umożliwiających osiągnięcie zamierzonego celu.</w:t>
      </w:r>
    </w:p>
    <w:p w14:paraId="00000015" w14:textId="77777777" w:rsidR="006B2C55" w:rsidRPr="00612C37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Projekt nie wymaga wydania aktów wykonawczych.</w:t>
      </w:r>
    </w:p>
    <w:p w14:paraId="00000016" w14:textId="77777777" w:rsidR="006B2C55" w:rsidRPr="00612C37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Projekt jest zgodny z prawem Unii Europejskiej. </w:t>
      </w:r>
    </w:p>
    <w:p w14:paraId="00000017" w14:textId="77777777" w:rsidR="006B2C55" w:rsidRPr="00612C37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Projekt nie wymaga przedłożenia właściwym instytucjom i organom Unii Europejskiej, w tym Europejskiemu Bankowi Centralnemu, w celu uzyskania opinii, dokonania powiadomienia, konsultacji albo uzgodnienia. </w:t>
      </w:r>
    </w:p>
    <w:p w14:paraId="00000018" w14:textId="285A15FF" w:rsidR="006B2C55" w:rsidRDefault="00000000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>Projekt nie zawiera przepisów regulacyjnych lub przepisów określających wymogi dotyczące świadczenia usług transgranicznych w rozumieniu ustawy z dnia 22 grudnia 2015 r. o zasadach uznawania kwalifikacji zawodowych nabytych w państwach członkowskich Unii Europejskiej (Dz. U. z 202</w:t>
      </w:r>
      <w:r w:rsidR="00027E9F">
        <w:rPr>
          <w:rFonts w:ascii="Times New Roman" w:eastAsia="Times New Roman" w:hAnsi="Times New Roman" w:cs="Times New Roman"/>
          <w:sz w:val="24"/>
          <w:szCs w:val="24"/>
          <w:lang w:val="pl-PL"/>
        </w:rPr>
        <w:t>6</w:t>
      </w: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r. poz. </w:t>
      </w:r>
      <w:r w:rsidR="00027E9F">
        <w:rPr>
          <w:rFonts w:ascii="Times New Roman" w:eastAsia="Times New Roman" w:hAnsi="Times New Roman" w:cs="Times New Roman"/>
          <w:sz w:val="24"/>
          <w:szCs w:val="24"/>
          <w:lang w:val="pl-PL"/>
        </w:rPr>
        <w:t>166</w:t>
      </w:r>
      <w:r w:rsidRPr="00612C3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). </w:t>
      </w:r>
    </w:p>
    <w:p w14:paraId="474C376C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D44547D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C1897CA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D1B114C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0BC0FF7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12FE709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FF2E9D7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382B239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AB5CED1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D892112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D996880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1496759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FD481A6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49C5B65" w14:textId="77777777" w:rsidR="00344079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3767D03" w14:textId="77777777" w:rsidR="00344079" w:rsidRPr="00027E9F" w:rsidRDefault="00344079" w:rsidP="001C7E0F">
      <w:pPr>
        <w:rPr>
          <w:lang w:val="pl-PL"/>
        </w:rPr>
      </w:pPr>
    </w:p>
    <w:p w14:paraId="29BAB778" w14:textId="77777777" w:rsidR="001C7E0F" w:rsidRDefault="001C7E0F" w:rsidP="001C7E0F">
      <w:pPr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3D647D46" w14:textId="77777777" w:rsidR="001C7E0F" w:rsidRDefault="001C7E0F" w:rsidP="001C7E0F">
      <w:pPr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33F76CB" w14:textId="77777777" w:rsidR="001C7E0F" w:rsidRDefault="001C7E0F" w:rsidP="001C7E0F">
      <w:pPr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3A6B302" w14:textId="6FE3DA6D" w:rsidR="00344079" w:rsidRPr="00344079" w:rsidRDefault="00344079" w:rsidP="001C7E0F">
      <w:pPr>
        <w:jc w:val="center"/>
        <w:rPr>
          <w:rFonts w:ascii="Times New Roman" w:hAnsi="Times New Roman" w:cs="Times New Roman"/>
          <w:b/>
          <w:bCs/>
          <w:lang w:val="pl-PL"/>
        </w:rPr>
      </w:pPr>
      <w:r w:rsidRPr="00344079">
        <w:rPr>
          <w:rFonts w:ascii="Times New Roman" w:hAnsi="Times New Roman" w:cs="Times New Roman"/>
          <w:b/>
          <w:bCs/>
          <w:lang w:val="pl-PL"/>
        </w:rPr>
        <w:lastRenderedPageBreak/>
        <w:t>DEKLAROWANE SKUTKI REGULACJI (DSR)</w:t>
      </w:r>
    </w:p>
    <w:p w14:paraId="7D2E222C" w14:textId="77777777" w:rsidR="00344079" w:rsidRPr="00344079" w:rsidRDefault="00344079" w:rsidP="001C7E0F">
      <w:pPr>
        <w:jc w:val="center"/>
        <w:rPr>
          <w:rFonts w:ascii="Times New Roman" w:hAnsi="Times New Roman" w:cs="Times New Roman"/>
          <w:b/>
          <w:bCs/>
          <w:lang w:val="pl-PL"/>
        </w:rPr>
      </w:pPr>
      <w:r w:rsidRPr="00344079">
        <w:rPr>
          <w:rFonts w:ascii="Times New Roman" w:hAnsi="Times New Roman" w:cs="Times New Roman"/>
          <w:b/>
          <w:bCs/>
          <w:lang w:val="pl-PL"/>
        </w:rPr>
        <w:t>projektu ustawy</w:t>
      </w:r>
    </w:p>
    <w:p w14:paraId="6DE1F901" w14:textId="77777777" w:rsidR="00344079" w:rsidRPr="00344079" w:rsidRDefault="00344079" w:rsidP="001C7E0F">
      <w:pPr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11A817E" w14:textId="77777777" w:rsidR="00344079" w:rsidRPr="00344079" w:rsidRDefault="00344079" w:rsidP="001C7E0F">
      <w:pPr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0E6886E" w14:textId="77777777" w:rsidR="00344079" w:rsidRPr="00344079" w:rsidRDefault="00344079" w:rsidP="001C7E0F">
      <w:pPr>
        <w:tabs>
          <w:tab w:val="left" w:pos="2834"/>
        </w:tabs>
        <w:rPr>
          <w:rFonts w:ascii="Times New Roman" w:hAnsi="Times New Roman" w:cs="Times New Roman"/>
          <w:b/>
          <w:bCs/>
          <w:lang w:val="pl-PL"/>
        </w:rPr>
      </w:pPr>
      <w:r w:rsidRPr="00344079">
        <w:rPr>
          <w:rFonts w:ascii="Times New Roman" w:hAnsi="Times New Roman" w:cs="Times New Roman"/>
          <w:b/>
          <w:bCs/>
          <w:lang w:val="pl-PL"/>
        </w:rPr>
        <w:tab/>
      </w:r>
    </w:p>
    <w:p w14:paraId="670CACA4" w14:textId="77777777" w:rsidR="00344079" w:rsidRPr="00344079" w:rsidRDefault="00344079" w:rsidP="001C7E0F">
      <w:pPr>
        <w:tabs>
          <w:tab w:val="left" w:pos="6290"/>
        </w:tabs>
        <w:jc w:val="both"/>
        <w:rPr>
          <w:rFonts w:ascii="Times New Roman" w:hAnsi="Times New Roman" w:cs="Times New Roman"/>
          <w:b/>
          <w:bCs/>
          <w:lang w:val="pl-PL"/>
        </w:rPr>
      </w:pPr>
      <w:r w:rsidRPr="00344079">
        <w:rPr>
          <w:rFonts w:ascii="Times New Roman" w:hAnsi="Times New Roman" w:cs="Times New Roman"/>
          <w:b/>
          <w:bCs/>
          <w:lang w:val="pl-PL"/>
        </w:rPr>
        <w:t>Informacja o projekcie</w:t>
      </w:r>
    </w:p>
    <w:p w14:paraId="6C47F0C2" w14:textId="77777777" w:rsidR="00344079" w:rsidRPr="00344079" w:rsidRDefault="00344079" w:rsidP="001C7E0F">
      <w:pPr>
        <w:tabs>
          <w:tab w:val="left" w:pos="6290"/>
        </w:tabs>
        <w:jc w:val="both"/>
        <w:rPr>
          <w:rFonts w:ascii="Times New Roman" w:hAnsi="Times New Roman" w:cs="Times New Roman"/>
          <w:b/>
          <w:bCs/>
          <w:lang w:val="pl-PL"/>
        </w:rPr>
      </w:pPr>
      <w:r w:rsidRPr="00344079">
        <w:rPr>
          <w:rFonts w:ascii="Times New Roman" w:hAnsi="Times New Roman" w:cs="Times New Roman"/>
          <w:b/>
          <w:bCs/>
          <w:lang w:val="pl-PL"/>
        </w:rPr>
        <w:tab/>
      </w:r>
    </w:p>
    <w:p w14:paraId="1EEC32DF" w14:textId="77777777" w:rsidR="00344079" w:rsidRPr="00344079" w:rsidRDefault="00344079" w:rsidP="001C7E0F">
      <w:pPr>
        <w:ind w:left="360"/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>a) Tytuł projektu: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74393DE4" w14:textId="77777777" w:rsidTr="007227A4">
        <w:trPr>
          <w:trHeight w:val="410"/>
        </w:trPr>
        <w:tc>
          <w:tcPr>
            <w:tcW w:w="9493" w:type="dxa"/>
          </w:tcPr>
          <w:p w14:paraId="66685A2B" w14:textId="77777777" w:rsidR="00344079" w:rsidRPr="00F2629B" w:rsidRDefault="00344079" w:rsidP="001C7E0F">
            <w:pPr>
              <w:spacing w:line="276" w:lineRule="auto"/>
              <w:ind w:left="360"/>
              <w:jc w:val="both"/>
              <w:rPr>
                <w:rFonts w:ascii="Times New Roman" w:hAnsi="Times New Roman" w:cs="Times New Roman"/>
              </w:rPr>
            </w:pPr>
            <w:bookmarkStart w:id="0" w:name="_Hlk174516121"/>
          </w:p>
          <w:p w14:paraId="4C581690" w14:textId="77777777" w:rsidR="00344079" w:rsidRPr="007227A4" w:rsidRDefault="00344079" w:rsidP="001C7E0F">
            <w:pPr>
              <w:spacing w:line="276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227A4">
              <w:rPr>
                <w:rFonts w:ascii="Times New Roman" w:hAnsi="Times New Roman" w:cs="Times New Roman"/>
                <w:color w:val="000000" w:themeColor="text1"/>
              </w:rPr>
              <w:t>Projekt ustawy o zmianie ustawy o elektromobilności i paliwach alternatywnych</w:t>
            </w:r>
          </w:p>
          <w:p w14:paraId="6A665E36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808080" w:themeColor="background1" w:themeShade="80"/>
              </w:rPr>
            </w:pPr>
          </w:p>
        </w:tc>
      </w:tr>
      <w:bookmarkEnd w:id="0"/>
    </w:tbl>
    <w:p w14:paraId="530852D5" w14:textId="77777777" w:rsidR="00344079" w:rsidRPr="00344079" w:rsidRDefault="00344079" w:rsidP="001C7E0F">
      <w:pPr>
        <w:jc w:val="both"/>
        <w:rPr>
          <w:rFonts w:ascii="Times New Roman" w:hAnsi="Times New Roman" w:cs="Times New Roman"/>
          <w:b/>
          <w:bCs/>
          <w:lang w:val="pl-PL"/>
        </w:rPr>
      </w:pPr>
    </w:p>
    <w:p w14:paraId="015E8ABA" w14:textId="77777777" w:rsidR="00344079" w:rsidRPr="00F2629B" w:rsidRDefault="00344079" w:rsidP="001C7E0F">
      <w:pPr>
        <w:ind w:left="360"/>
        <w:jc w:val="both"/>
        <w:rPr>
          <w:rFonts w:ascii="Times New Roman" w:eastAsia="Times New Roman" w:hAnsi="Times New Roman" w:cs="Times New Roman"/>
        </w:rPr>
      </w:pPr>
      <w:r w:rsidRPr="00F2629B">
        <w:rPr>
          <w:rFonts w:ascii="Times New Roman" w:eastAsia="Times New Roman" w:hAnsi="Times New Roman" w:cs="Times New Roman"/>
        </w:rPr>
        <w:t xml:space="preserve">b) </w:t>
      </w:r>
      <w:proofErr w:type="spellStart"/>
      <w:r w:rsidRPr="00F2629B">
        <w:rPr>
          <w:rFonts w:ascii="Times New Roman" w:eastAsia="Times New Roman" w:hAnsi="Times New Roman" w:cs="Times New Roman"/>
        </w:rPr>
        <w:t>Przedstawiciel</w:t>
      </w:r>
      <w:proofErr w:type="spellEnd"/>
      <w:r w:rsidRPr="00F2629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2629B">
        <w:rPr>
          <w:rFonts w:ascii="Times New Roman" w:eastAsia="Times New Roman" w:hAnsi="Times New Roman" w:cs="Times New Roman"/>
        </w:rPr>
        <w:t>wnioskodawcy</w:t>
      </w:r>
      <w:proofErr w:type="spellEnd"/>
      <w:r w:rsidRPr="00F2629B">
        <w:rPr>
          <w:rFonts w:ascii="Times New Roman" w:eastAsia="Times New Roman" w:hAnsi="Times New Roman" w:cs="Times New Roman"/>
        </w:rPr>
        <w:t>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F2629B" w14:paraId="012D8564" w14:textId="77777777" w:rsidTr="007227A4">
        <w:trPr>
          <w:trHeight w:val="671"/>
        </w:trPr>
        <w:tc>
          <w:tcPr>
            <w:tcW w:w="9493" w:type="dxa"/>
          </w:tcPr>
          <w:p w14:paraId="22FCB0C7" w14:textId="77777777" w:rsidR="00344079" w:rsidRPr="00F2629B" w:rsidRDefault="00344079" w:rsidP="001C7E0F">
            <w:pPr>
              <w:spacing w:line="276" w:lineRule="auto"/>
              <w:ind w:left="360"/>
              <w:jc w:val="both"/>
              <w:rPr>
                <w:rFonts w:ascii="Times New Roman" w:hAnsi="Times New Roman" w:cs="Times New Roman"/>
              </w:rPr>
            </w:pPr>
          </w:p>
          <w:p w14:paraId="53168667" w14:textId="77777777" w:rsidR="00344079" w:rsidRPr="00F2629B" w:rsidRDefault="00344079" w:rsidP="001C7E0F">
            <w:pPr>
              <w:spacing w:line="276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Daria Gosek-Popiołek</w:t>
            </w:r>
          </w:p>
          <w:p w14:paraId="222F0708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808080" w:themeColor="background1" w:themeShade="80"/>
              </w:rPr>
            </w:pPr>
          </w:p>
        </w:tc>
      </w:tr>
    </w:tbl>
    <w:p w14:paraId="4A630BBE" w14:textId="77777777" w:rsidR="00344079" w:rsidRPr="00F2629B" w:rsidRDefault="00344079" w:rsidP="001C7E0F">
      <w:pPr>
        <w:jc w:val="both"/>
        <w:rPr>
          <w:rFonts w:ascii="Times New Roman" w:hAnsi="Times New Roman" w:cs="Times New Roman"/>
          <w:b/>
          <w:bCs/>
        </w:rPr>
      </w:pPr>
    </w:p>
    <w:p w14:paraId="54C65DA0" w14:textId="77777777" w:rsidR="00344079" w:rsidRPr="00F2629B" w:rsidRDefault="00344079" w:rsidP="001C7E0F">
      <w:pPr>
        <w:rPr>
          <w:rFonts w:ascii="Times New Roman" w:hAnsi="Times New Roman" w:cs="Times New Roman"/>
          <w:b/>
          <w:bCs/>
        </w:rPr>
      </w:pPr>
    </w:p>
    <w:p w14:paraId="5902B41E" w14:textId="77777777" w:rsidR="00344079" w:rsidRPr="00F2629B" w:rsidRDefault="00344079" w:rsidP="001C7E0F">
      <w:pPr>
        <w:rPr>
          <w:rFonts w:ascii="Times New Roman" w:hAnsi="Times New Roman" w:cs="Times New Roman"/>
        </w:rPr>
      </w:pPr>
      <w:r w:rsidRPr="00F2629B">
        <w:rPr>
          <w:rFonts w:ascii="Times New Roman" w:hAnsi="Times New Roman" w:cs="Times New Roman"/>
          <w:b/>
        </w:rPr>
        <w:t xml:space="preserve">I. </w:t>
      </w:r>
      <w:proofErr w:type="spellStart"/>
      <w:r w:rsidRPr="00F2629B">
        <w:rPr>
          <w:rFonts w:ascii="Times New Roman" w:hAnsi="Times New Roman" w:cs="Times New Roman"/>
          <w:b/>
        </w:rPr>
        <w:t>Część</w:t>
      </w:r>
      <w:proofErr w:type="spellEnd"/>
      <w:r w:rsidRPr="00F2629B">
        <w:rPr>
          <w:rFonts w:ascii="Times New Roman" w:hAnsi="Times New Roman" w:cs="Times New Roman"/>
          <w:b/>
        </w:rPr>
        <w:t xml:space="preserve"> </w:t>
      </w:r>
      <w:proofErr w:type="spellStart"/>
      <w:r w:rsidRPr="00F2629B">
        <w:rPr>
          <w:rFonts w:ascii="Times New Roman" w:hAnsi="Times New Roman" w:cs="Times New Roman"/>
          <w:b/>
        </w:rPr>
        <w:t>wstępna</w:t>
      </w:r>
      <w:proofErr w:type="spellEnd"/>
    </w:p>
    <w:p w14:paraId="57C4B971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>[1] Zwięzły opis zidentyfikowanego problemu i proponowanych rozwiązań.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0C8D1315" w14:textId="77777777" w:rsidTr="007227A4">
        <w:tc>
          <w:tcPr>
            <w:tcW w:w="9493" w:type="dxa"/>
          </w:tcPr>
          <w:p w14:paraId="1A86F269" w14:textId="77777777" w:rsidR="00690CA8" w:rsidRDefault="00690CA8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2A2312" w14:textId="4E2E4DA3" w:rsidR="001C7E0F" w:rsidRDefault="001C7E0F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C7E0F">
              <w:rPr>
                <w:rFonts w:ascii="Times New Roman" w:eastAsia="Times New Roman" w:hAnsi="Times New Roman" w:cs="Times New Roman"/>
              </w:rPr>
              <w:t>Opłata za wjazd do strefy czystego transportu pojazdów niespełniających wymagań stanowi dochód własny gminy, który może być wykorzystany wyłącznie na cele określone w art. 39 ust. 6 ustawy o elektromobilności i paliwach alternatywnych. Obecny katalog obejmuje oznakowanie strefy, zakup środków transportu zbiorowego oraz finansowanie programów wsparcia zakupu rowerów elektrycznych.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949FAF8" w14:textId="77777777" w:rsidR="001C7E0F" w:rsidRDefault="001C7E0F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DA19A10" w14:textId="7E3F310F" w:rsidR="001C7E0F" w:rsidRDefault="001C7E0F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C7E0F">
              <w:rPr>
                <w:rFonts w:ascii="Times New Roman" w:eastAsia="Times New Roman" w:hAnsi="Times New Roman" w:cs="Times New Roman"/>
              </w:rPr>
              <w:t>Obowiązujące przepisy nie pozwalają natomiast na przeznaczanie tych dochodów na pozostałe koszty realizacji przez gminę zadania własnego w zakresie lokalnego transportu zbiorowego, w szczególności na organizowanie przewozów o charakterze użyteczności publicznej, zakup usług przewozowych, wypłatę rekompensat operatorom publicznego transportu zbiorowego, uruchamianie nowych połączeń oraz zwiększanie częstotliwości już funkcjonujących połączeń.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70208AC" w14:textId="77777777" w:rsidR="001C7E0F" w:rsidRDefault="001C7E0F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383874D" w14:textId="77777777" w:rsidR="00344079" w:rsidRDefault="001C7E0F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C7E0F">
              <w:rPr>
                <w:rFonts w:ascii="Times New Roman" w:eastAsia="Times New Roman" w:hAnsi="Times New Roman" w:cs="Times New Roman"/>
              </w:rPr>
              <w:t>Projekt przewiduje rozszerzenie katalogu dopuszczalnych sposobów wykorzystania dochodów z opłat o finansowanie zadań własnych gminy w zakresie lokalnego transportu zbiorowego, o których mowa w art. 7 ust. 1 pkt 4 ustawy o samorządzie gminnym. Projektowana zmiana zwiększy swobodę gmin w wykorzystywaniu tych środków, przy zachowaniu ich przeznaczenia na cele związane z transportem zbiorowym.</w:t>
            </w:r>
          </w:p>
          <w:p w14:paraId="310AF606" w14:textId="062DD2F1" w:rsidR="00690CA8" w:rsidRPr="00AF6963" w:rsidRDefault="00690CA8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B21CA5F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</w:p>
    <w:p w14:paraId="7A5D6BC2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>[2] Czy były rozważane rozwiązania alternatywne?</w:t>
      </w:r>
    </w:p>
    <w:p w14:paraId="6CFBFC17" w14:textId="77777777" w:rsidR="00344079" w:rsidRPr="00F62F82" w:rsidRDefault="00344079" w:rsidP="001C7E0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F62F82">
        <w:rPr>
          <w:rFonts w:ascii="Times New Roman" w:hAnsi="Times New Roman" w:cs="Times New Roman"/>
        </w:rPr>
        <w:t xml:space="preserve">Tak </w:t>
      </w:r>
    </w:p>
    <w:p w14:paraId="1A03000F" w14:textId="77777777" w:rsidR="00344079" w:rsidRPr="00F62F82" w:rsidRDefault="00344079" w:rsidP="001C7E0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62F82">
        <w:rPr>
          <w:rFonts w:ascii="Times New Roman" w:hAnsi="Times New Roman" w:cs="Times New Roman"/>
          <w:b/>
          <w:bCs/>
        </w:rPr>
        <w:t>Nie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63359A57" w14:textId="77777777" w:rsidTr="007227A4">
        <w:tc>
          <w:tcPr>
            <w:tcW w:w="9493" w:type="dxa"/>
          </w:tcPr>
          <w:p w14:paraId="0026031D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bookmarkStart w:id="1" w:name="_Hlk174441549"/>
          </w:p>
          <w:p w14:paraId="6CE977F2" w14:textId="77777777" w:rsidR="00344079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62F82">
              <w:rPr>
                <w:rFonts w:ascii="Times New Roman" w:hAnsi="Times New Roman" w:cs="Times New Roman"/>
              </w:rPr>
              <w:lastRenderedPageBreak/>
              <w:t>Nie</w:t>
            </w:r>
            <w:r>
              <w:rPr>
                <w:rFonts w:ascii="Times New Roman" w:hAnsi="Times New Roman" w:cs="Times New Roman"/>
              </w:rPr>
              <w:t xml:space="preserve"> istnieją inne niż ustawowe </w:t>
            </w:r>
            <w:r w:rsidRPr="00F62F82">
              <w:rPr>
                <w:rFonts w:ascii="Times New Roman" w:hAnsi="Times New Roman" w:cs="Times New Roman"/>
              </w:rPr>
              <w:t xml:space="preserve">możliwości </w:t>
            </w:r>
            <w:r>
              <w:rPr>
                <w:rFonts w:ascii="Times New Roman" w:hAnsi="Times New Roman" w:cs="Times New Roman"/>
              </w:rPr>
              <w:t>wprowadzenia projektowanych rozwiązań.</w:t>
            </w:r>
          </w:p>
          <w:p w14:paraId="4D5223D6" w14:textId="77777777" w:rsidR="00690CA8" w:rsidRPr="001D5CB0" w:rsidRDefault="00690CA8" w:rsidP="001C7E0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bookmarkEnd w:id="1"/>
    </w:tbl>
    <w:p w14:paraId="1A6EDC6A" w14:textId="77777777" w:rsidR="00344079" w:rsidRPr="00344079" w:rsidRDefault="00344079" w:rsidP="001C7E0F">
      <w:pPr>
        <w:rPr>
          <w:rFonts w:ascii="Times New Roman" w:hAnsi="Times New Roman" w:cs="Times New Roman"/>
          <w:b/>
          <w:lang w:val="pl-PL"/>
        </w:rPr>
      </w:pPr>
    </w:p>
    <w:p w14:paraId="2A0A9C0F" w14:textId="77777777" w:rsidR="00344079" w:rsidRPr="00344079" w:rsidRDefault="00344079" w:rsidP="001C7E0F">
      <w:pPr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b/>
          <w:lang w:val="pl-PL"/>
        </w:rPr>
        <w:t>II. Wymogi określone w art. 34 ust. 2 pkt 3–5 regulaminu Sejmu</w:t>
      </w:r>
    </w:p>
    <w:p w14:paraId="7411C536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>[3] Jakie są przewidywane skutki prawne projektowanych rozwiązań?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4C5FAC29" w14:textId="77777777" w:rsidTr="007227A4">
        <w:trPr>
          <w:trHeight w:val="983"/>
        </w:trPr>
        <w:tc>
          <w:tcPr>
            <w:tcW w:w="9493" w:type="dxa"/>
          </w:tcPr>
          <w:p w14:paraId="2F549D27" w14:textId="77777777" w:rsidR="00690CA8" w:rsidRDefault="00690CA8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2EADBFC" w14:textId="1B64DD6E" w:rsidR="00344079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Zawarty w art. 39 ust. 6</w:t>
            </w:r>
            <w:r w:rsidRPr="00992470">
              <w:rPr>
                <w:rFonts w:ascii="Times New Roman" w:hAnsi="Times New Roman" w:cs="Times New Roman"/>
              </w:rPr>
              <w:t xml:space="preserve"> ustawy o elektromobilności i paliwach alternatywnych</w:t>
            </w:r>
            <w:r>
              <w:rPr>
                <w:rFonts w:ascii="Times New Roman" w:hAnsi="Times New Roman" w:cs="Times New Roman"/>
              </w:rPr>
              <w:t xml:space="preserve"> katalog potrzeb zostanie rozszerzony o finansowanie </w:t>
            </w:r>
            <w:r w:rsidRPr="00992470">
              <w:rPr>
                <w:rFonts w:ascii="Times New Roman" w:hAnsi="Times New Roman" w:cs="Times New Roman"/>
              </w:rPr>
              <w:t>zadań</w:t>
            </w:r>
            <w:r w:rsidR="00EA4EA8">
              <w:rPr>
                <w:rFonts w:ascii="Times New Roman" w:hAnsi="Times New Roman" w:cs="Times New Roman"/>
              </w:rPr>
              <w:t xml:space="preserve"> własnych gminy w zakresie lokalnego transportu zbiorowego</w:t>
            </w:r>
            <w:r w:rsidRPr="00992470">
              <w:rPr>
                <w:rFonts w:ascii="Times New Roman" w:hAnsi="Times New Roman" w:cs="Times New Roman"/>
              </w:rPr>
              <w:t>, o których mowa w art. 7 ust. 1 pkt 4 ustawy z dnia 8 marca 1990 r. o samorządzie gminnym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1C7E0F" w:rsidRPr="001C7E0F">
              <w:rPr>
                <w:rFonts w:ascii="Times New Roman" w:hAnsi="Times New Roman" w:cs="Times New Roman"/>
              </w:rPr>
              <w:t>Projektowana zmiana rozszerzy zakres dopuszczalnego wykorzystania dochodów gminy z opłat za wjazd do strefy czystego transportu. Gminy będą mogły przeznaczać te środki nie tylko na cele szczegółowo wymienione obecnie w art. 39 ust. 6 ustawy, lecz także na pozostałe koszty realizacji zadań własnych w zakresie lokalnego transportu zbiorowego, w tym na organizowanie przewozów o charakterze użyteczności publicznej. Projekt nie nakłada na gminy obowiązku ponoszenia takich wydatków, lecz rozszerza ich uprawnienia w zakresie dysponowania dochodami z opłat.</w:t>
            </w:r>
          </w:p>
          <w:p w14:paraId="68C799AF" w14:textId="7E0BC04E" w:rsidR="00690CA8" w:rsidRPr="00992470" w:rsidRDefault="00690CA8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D5C75B7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</w:p>
    <w:p w14:paraId="2F1CB8A3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 xml:space="preserve">[4] Jakie są </w:t>
      </w:r>
      <w:bookmarkStart w:id="2" w:name="_Hlk174443131"/>
      <w:r w:rsidRPr="00344079">
        <w:rPr>
          <w:rFonts w:ascii="Times New Roman" w:hAnsi="Times New Roman" w:cs="Times New Roman"/>
          <w:lang w:val="pl-PL"/>
        </w:rPr>
        <w:t>przewidywane</w:t>
      </w:r>
      <w:bookmarkEnd w:id="2"/>
      <w:r w:rsidRPr="00344079">
        <w:rPr>
          <w:rFonts w:ascii="Times New Roman" w:hAnsi="Times New Roman" w:cs="Times New Roman"/>
          <w:lang w:val="pl-PL"/>
        </w:rPr>
        <w:t xml:space="preserve"> skutki społeczne projektowanych rozwiązań?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5B230244" w14:textId="77777777" w:rsidTr="007227A4">
        <w:tc>
          <w:tcPr>
            <w:tcW w:w="9493" w:type="dxa"/>
          </w:tcPr>
          <w:p w14:paraId="1FB1485E" w14:textId="77777777" w:rsidR="00690CA8" w:rsidRDefault="00690CA8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4D983AF" w14:textId="1EE0ED7C" w:rsidR="00344079" w:rsidRDefault="00196744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96744">
              <w:rPr>
                <w:rFonts w:ascii="Times New Roman" w:hAnsi="Times New Roman" w:cs="Times New Roman"/>
              </w:rPr>
              <w:t>Projektowana zmiana umożliwi gminom przeznaczanie środków pochodzących z opłat za wjazd do strefy czystego transportu na organizowanie i funkcjonowanie lokalnego transportu zbiorowego, w tym na uruchamianie nowych połączeń oraz zwiększanie częstotliwości przewozów. Może to przyczynić się do poprawy dostępności i jakości usług publicznego transportu zbiorowego dla mieszkańców.</w:t>
            </w:r>
          </w:p>
          <w:p w14:paraId="735EA049" w14:textId="77777777" w:rsidR="00196744" w:rsidRDefault="00196744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25FD0BB" w14:textId="77777777" w:rsidR="00344079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Projektowane przepisy zwiększają korzyści związane z ustanowieniem i funkcjonowaniem stref czystego transportu, a tym samym potencjalnie mogą przyczynić się do powstawania nowych lub rozszerzania dotychczasowych SCT. Dotychczasowe doświadczenia związane z funkcjonowaniem SCT w Polsce wskazują m.in. na korzyści środowiskowe i zdrowotne, np. w Warszawie po dwóch latach od powstania SCT </w:t>
            </w:r>
            <w:r w:rsidRPr="00405273">
              <w:rPr>
                <w:rFonts w:ascii="Times New Roman" w:hAnsi="Times New Roman" w:cs="Times New Roman"/>
              </w:rPr>
              <w:t xml:space="preserve">średnioroczne stężenie </w:t>
            </w:r>
            <w:r>
              <w:rPr>
                <w:rFonts w:ascii="Times New Roman" w:hAnsi="Times New Roman" w:cs="Times New Roman"/>
              </w:rPr>
              <w:t xml:space="preserve">szkodliwego dla zdrowia </w:t>
            </w:r>
            <w:r w:rsidRPr="00405273">
              <w:rPr>
                <w:rFonts w:ascii="Times New Roman" w:hAnsi="Times New Roman" w:cs="Times New Roman"/>
              </w:rPr>
              <w:t>dwutlenku azotu (NO</w:t>
            </w:r>
            <w:r w:rsidRPr="00405273">
              <w:rPr>
                <w:rFonts w:ascii="Times New Roman" w:hAnsi="Times New Roman" w:cs="Times New Roman"/>
                <w:vertAlign w:val="subscript"/>
              </w:rPr>
              <w:t>2</w:t>
            </w:r>
            <w:r w:rsidRPr="00405273">
              <w:rPr>
                <w:rFonts w:ascii="Times New Roman" w:hAnsi="Times New Roman" w:cs="Times New Roman"/>
              </w:rPr>
              <w:t xml:space="preserve">) w granicach SCT spadło o 18%, podczas gdy poza strefą o </w:t>
            </w:r>
            <w:r>
              <w:rPr>
                <w:rFonts w:ascii="Times New Roman" w:hAnsi="Times New Roman" w:cs="Times New Roman"/>
              </w:rPr>
              <w:t xml:space="preserve">jedynie </w:t>
            </w:r>
            <w:r w:rsidRPr="00405273">
              <w:rPr>
                <w:rFonts w:ascii="Times New Roman" w:hAnsi="Times New Roman" w:cs="Times New Roman"/>
              </w:rPr>
              <w:t>5%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79DC889" w14:textId="77777777" w:rsidR="00690CA8" w:rsidRPr="00F62F82" w:rsidRDefault="00690CA8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39A370F" w14:textId="77777777" w:rsidR="001C7E0F" w:rsidRDefault="001C7E0F" w:rsidP="001C7E0F">
      <w:pPr>
        <w:jc w:val="both"/>
        <w:rPr>
          <w:rFonts w:ascii="Times New Roman" w:hAnsi="Times New Roman" w:cs="Times New Roman"/>
          <w:lang w:val="pl-PL"/>
        </w:rPr>
      </w:pPr>
    </w:p>
    <w:p w14:paraId="691AC404" w14:textId="739699E1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>[5] Jakie są przewidywane skutki gospodarcze projektowanych rozwiązań?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64BCCDAB" w14:textId="77777777" w:rsidTr="007227A4">
        <w:tc>
          <w:tcPr>
            <w:tcW w:w="9493" w:type="dxa"/>
          </w:tcPr>
          <w:p w14:paraId="781F7E0F" w14:textId="77777777" w:rsidR="00690CA8" w:rsidRDefault="00690CA8" w:rsidP="00690CA8">
            <w:pPr>
              <w:jc w:val="both"/>
              <w:rPr>
                <w:rFonts w:ascii="Times New Roman" w:hAnsi="Times New Roman" w:cs="Times New Roman"/>
              </w:rPr>
            </w:pPr>
          </w:p>
          <w:p w14:paraId="56578A7B" w14:textId="32C2D984" w:rsidR="00690CA8" w:rsidRPr="00690CA8" w:rsidRDefault="00690CA8" w:rsidP="00690CA8">
            <w:pPr>
              <w:jc w:val="both"/>
              <w:rPr>
                <w:rFonts w:ascii="Times New Roman" w:hAnsi="Times New Roman" w:cs="Times New Roman"/>
              </w:rPr>
            </w:pPr>
            <w:r w:rsidRPr="00690CA8">
              <w:rPr>
                <w:rFonts w:ascii="Times New Roman" w:hAnsi="Times New Roman" w:cs="Times New Roman"/>
              </w:rPr>
              <w:t>Projektowana zmiana nie nakłada na przedsiębiorców nowych obowiązków ani obciążeń finansowych lub administracyjnych oraz nie wpływa bezpośrednio na warunki prowadzenia działalności gospodarczej.</w:t>
            </w:r>
          </w:p>
          <w:p w14:paraId="77686BDE" w14:textId="77777777" w:rsidR="00690CA8" w:rsidRPr="00690CA8" w:rsidRDefault="00690CA8" w:rsidP="00690CA8">
            <w:pPr>
              <w:jc w:val="both"/>
              <w:rPr>
                <w:rFonts w:ascii="Times New Roman" w:hAnsi="Times New Roman" w:cs="Times New Roman"/>
              </w:rPr>
            </w:pPr>
          </w:p>
          <w:p w14:paraId="68B2E9DE" w14:textId="77777777" w:rsidR="00344079" w:rsidRDefault="00690CA8" w:rsidP="00690CA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90CA8">
              <w:rPr>
                <w:rFonts w:ascii="Times New Roman" w:hAnsi="Times New Roman" w:cs="Times New Roman"/>
              </w:rPr>
              <w:t>Zwiększenie swobody gmin w wydatkowaniu środków może jednak pośrednio oddziaływać na rynek przewozów oraz na podmioty świadczące usługi związane z lokalnym transportem zbiorowym. Kierunek i skala tego oddziaływania będą zależały od decyzji poszczególnych gmin dotyczących sposobu wykorzystania dochodów z opłat.</w:t>
            </w:r>
          </w:p>
          <w:p w14:paraId="38BA78E5" w14:textId="7BFF2605" w:rsidR="00690CA8" w:rsidRPr="00F62F82" w:rsidRDefault="00690CA8" w:rsidP="00690CA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A2B0937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</w:p>
    <w:p w14:paraId="200D52A2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lastRenderedPageBreak/>
        <w:t>[6] Jakie są przewidywane skutki finansowe projektowanych rozwiązań, w szczególności wpływ na sektor finansów publicznych, w tym na budżet państwa i budżety jednostek samorządu terytorialnego?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231F36A1" w14:textId="77777777" w:rsidTr="007227A4">
        <w:tc>
          <w:tcPr>
            <w:tcW w:w="9493" w:type="dxa"/>
          </w:tcPr>
          <w:p w14:paraId="133B386F" w14:textId="77777777" w:rsidR="00690CA8" w:rsidRDefault="00690CA8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A27E8B0" w14:textId="781686B8" w:rsidR="00344079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Projektowane rozwiązania nie wpłyną na budżet państwa. Nie zwiększą one także wpływów do budżetów jednostek samorządu terytorialnego ani nie pociągną za sobą konieczności zwiększenia wydatków z budżetów jednostek samorządu terytorialnego. Gminy zyskają większą swobodę w wydatkowaniu dochodów z opłaty, o której mowa w art. 39 ust. 5</w:t>
            </w:r>
            <w:r w:rsidRPr="00992470">
              <w:rPr>
                <w:rFonts w:ascii="Times New Roman" w:hAnsi="Times New Roman" w:cs="Times New Roman"/>
              </w:rPr>
              <w:t xml:space="preserve"> ustawy o elektromobilności i paliwach alternatywnych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A27C78D" w14:textId="77777777" w:rsidR="00690CA8" w:rsidRPr="00F2629B" w:rsidRDefault="00690CA8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F7F801F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</w:p>
    <w:p w14:paraId="596329F5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>[7] Wykaz źródeł finansowania, jeśli projekt ustawy pociąga za sobą obciążenie budżetu państwa lub budżetów jednostek samorządu terytorialnego.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732468" w14:paraId="56A2839E" w14:textId="77777777" w:rsidTr="007227A4">
        <w:tc>
          <w:tcPr>
            <w:tcW w:w="9493" w:type="dxa"/>
          </w:tcPr>
          <w:p w14:paraId="0E3FA3F2" w14:textId="77777777" w:rsidR="00690CA8" w:rsidRDefault="00690CA8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51B4462" w14:textId="77777777" w:rsidR="00344079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Nie dotyczy.</w:t>
            </w:r>
          </w:p>
          <w:p w14:paraId="4C4D9038" w14:textId="0662901F" w:rsidR="00690CA8" w:rsidRPr="00732468" w:rsidRDefault="00690CA8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9CC1945" w14:textId="77777777" w:rsidR="00690CA8" w:rsidRPr="00F2629B" w:rsidRDefault="00690CA8" w:rsidP="001C7E0F">
      <w:pPr>
        <w:jc w:val="both"/>
        <w:rPr>
          <w:rFonts w:ascii="Times New Roman" w:hAnsi="Times New Roman" w:cs="Times New Roman"/>
        </w:rPr>
      </w:pPr>
    </w:p>
    <w:p w14:paraId="21B79032" w14:textId="77777777" w:rsidR="00344079" w:rsidRPr="00344079" w:rsidRDefault="00344079" w:rsidP="001C7E0F">
      <w:pPr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 xml:space="preserve">[8] Czy projekt ustawy podlega procedurze notyfikacyjnej? </w:t>
      </w:r>
    </w:p>
    <w:p w14:paraId="1A238DEE" w14:textId="77777777" w:rsidR="00344079" w:rsidRDefault="00344079" w:rsidP="001C7E0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2629B">
        <w:rPr>
          <w:rFonts w:ascii="Times New Roman" w:hAnsi="Times New Roman" w:cs="Times New Roman"/>
          <w:b/>
          <w:bCs/>
        </w:rPr>
        <w:t xml:space="preserve">Nie </w:t>
      </w:r>
    </w:p>
    <w:p w14:paraId="6108AD0A" w14:textId="77777777" w:rsidR="00344079" w:rsidRPr="00A96A4A" w:rsidRDefault="00344079" w:rsidP="001C7E0F">
      <w:pPr>
        <w:pStyle w:val="Akapitzlist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24E340B6" w14:textId="77777777" w:rsidR="00344079" w:rsidRPr="00344079" w:rsidRDefault="00344079" w:rsidP="001C7E0F">
      <w:pPr>
        <w:rPr>
          <w:rFonts w:ascii="Times New Roman" w:hAnsi="Times New Roman" w:cs="Times New Roman"/>
          <w:b/>
          <w:lang w:val="pl-PL"/>
        </w:rPr>
      </w:pPr>
      <w:r w:rsidRPr="00344079">
        <w:rPr>
          <w:rFonts w:ascii="Times New Roman" w:hAnsi="Times New Roman" w:cs="Times New Roman"/>
          <w:b/>
          <w:lang w:val="pl-PL"/>
        </w:rPr>
        <w:t xml:space="preserve">III. </w:t>
      </w:r>
      <w:bookmarkStart w:id="3" w:name="_Hlk174441212"/>
      <w:r w:rsidRPr="00344079">
        <w:rPr>
          <w:rFonts w:ascii="Times New Roman" w:hAnsi="Times New Roman" w:cs="Times New Roman"/>
          <w:b/>
          <w:lang w:val="pl-PL"/>
        </w:rPr>
        <w:t>Wymogi określone w art. 34 ust. 2a i 2b regulaminu Sejmu</w:t>
      </w:r>
      <w:bookmarkEnd w:id="3"/>
    </w:p>
    <w:p w14:paraId="3D36450F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>[9] Czy projekt ustawy zawiera przepisy określające zasady podejmowania, wykonywania lub zakończenia działalności gospodarczej (art. 34 ust. 2a regulaminu Sejmu)?</w:t>
      </w:r>
    </w:p>
    <w:p w14:paraId="66041A1A" w14:textId="77777777" w:rsidR="00344079" w:rsidRPr="00F2629B" w:rsidRDefault="00344079" w:rsidP="001C7E0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2629B">
        <w:rPr>
          <w:rFonts w:ascii="Times New Roman" w:hAnsi="Times New Roman" w:cs="Times New Roman"/>
          <w:b/>
          <w:bCs/>
        </w:rPr>
        <w:t>Nie</w:t>
      </w:r>
    </w:p>
    <w:p w14:paraId="466A467D" w14:textId="77777777" w:rsidR="00344079" w:rsidRPr="00F2629B" w:rsidRDefault="00344079" w:rsidP="001C7E0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F2629B">
        <w:rPr>
          <w:rFonts w:ascii="Times New Roman" w:hAnsi="Times New Roman" w:cs="Times New Roman"/>
        </w:rPr>
        <w:t>Tak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5048FFB8" w14:textId="77777777" w:rsidTr="007227A4">
        <w:tc>
          <w:tcPr>
            <w:tcW w:w="9493" w:type="dxa"/>
          </w:tcPr>
          <w:p w14:paraId="761F0A97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FE63340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</w:t>
            </w:r>
            <w:r w:rsidRPr="00F2629B">
              <w:rPr>
                <w:rFonts w:ascii="Times New Roman" w:hAnsi="Times New Roman" w:cs="Times New Roman"/>
              </w:rPr>
              <w:t xml:space="preserve"> nie zawiera przepisów określających zasady podejmowania, wykonywania lub zakończenia działalności gospodarczej (art. 34 ust. 2a regulaminu Sejmu).</w:t>
            </w:r>
          </w:p>
          <w:p w14:paraId="5D48E368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B87281D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</w:p>
    <w:p w14:paraId="2B1A9416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>[10] Czy wdrożenie projektowanych przepisów spowoduje obciążenia administracyjne mikroprzedsiębiorców, małych i średnich przedsiębiorców (art. 34 ust. 2a regulaminu Sejmu)?</w:t>
      </w:r>
    </w:p>
    <w:p w14:paraId="35AFE8A2" w14:textId="77777777" w:rsidR="00344079" w:rsidRPr="00F2629B" w:rsidRDefault="00344079" w:rsidP="001C7E0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2629B">
        <w:rPr>
          <w:rFonts w:ascii="Times New Roman" w:hAnsi="Times New Roman" w:cs="Times New Roman"/>
          <w:b/>
          <w:bCs/>
        </w:rPr>
        <w:t>Nie</w:t>
      </w:r>
    </w:p>
    <w:p w14:paraId="387C641F" w14:textId="77777777" w:rsidR="00344079" w:rsidRPr="00F2629B" w:rsidRDefault="00344079" w:rsidP="001C7E0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F2629B">
        <w:rPr>
          <w:rFonts w:ascii="Times New Roman" w:hAnsi="Times New Roman" w:cs="Times New Roman"/>
        </w:rPr>
        <w:t>Tak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3E51ACB2" w14:textId="77777777" w:rsidTr="007227A4">
        <w:tc>
          <w:tcPr>
            <w:tcW w:w="9493" w:type="dxa"/>
          </w:tcPr>
          <w:p w14:paraId="1719C7DD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3153184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Projekt nie wpływa na </w:t>
            </w:r>
            <w:r w:rsidRPr="00F2629B">
              <w:rPr>
                <w:rFonts w:ascii="Times New Roman" w:hAnsi="Times New Roman" w:cs="Times New Roman"/>
              </w:rPr>
              <w:t>obciążenia administracyjne mikroprzedsiębiorców, małych i średnich przedsiębiorców (art. 34 ust. 2a regulaminu Sejmu).</w:t>
            </w:r>
          </w:p>
          <w:p w14:paraId="6F1972B0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E5AEBB9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</w:p>
    <w:p w14:paraId="611207D9" w14:textId="77777777" w:rsidR="00344079" w:rsidRPr="00344079" w:rsidRDefault="00344079" w:rsidP="001C7E0F">
      <w:pPr>
        <w:jc w:val="both"/>
        <w:rPr>
          <w:rFonts w:ascii="Times New Roman" w:hAnsi="Times New Roman" w:cs="Times New Roman"/>
          <w:lang w:val="pl-PL"/>
        </w:rPr>
      </w:pPr>
      <w:r w:rsidRPr="00344079">
        <w:rPr>
          <w:rFonts w:ascii="Times New Roman" w:hAnsi="Times New Roman" w:cs="Times New Roman"/>
          <w:lang w:val="pl-PL"/>
        </w:rPr>
        <w:t>[11] Czy projekt ustawy zawiera przepisy regulacyjne lub określa wymogi dotyczące świadczenia usług transgranicznych w rozumieniu ustawy z dnia 22 grudnia 2015 r. o zasadach uznawania kwalifikacji zawodowych nabytych w państwach członkowskich Unii Europejskiej (art. 34 ust. 2b regulaminu Sejmu)?</w:t>
      </w:r>
    </w:p>
    <w:p w14:paraId="0BC40267" w14:textId="77777777" w:rsidR="00344079" w:rsidRPr="00F2629B" w:rsidRDefault="00344079" w:rsidP="001C7E0F">
      <w:pPr>
        <w:pStyle w:val="Akapitzlist"/>
        <w:numPr>
          <w:ilvl w:val="0"/>
          <w:numId w:val="2"/>
        </w:numPr>
        <w:spacing w:line="276" w:lineRule="auto"/>
        <w:ind w:left="714" w:hanging="357"/>
        <w:jc w:val="both"/>
        <w:rPr>
          <w:rFonts w:ascii="Times New Roman" w:hAnsi="Times New Roman" w:cs="Times New Roman"/>
          <w:b/>
          <w:bCs/>
        </w:rPr>
      </w:pPr>
      <w:r w:rsidRPr="00F2629B">
        <w:rPr>
          <w:rFonts w:ascii="Times New Roman" w:hAnsi="Times New Roman" w:cs="Times New Roman"/>
          <w:b/>
          <w:bCs/>
        </w:rPr>
        <w:t xml:space="preserve">Nie </w:t>
      </w:r>
    </w:p>
    <w:p w14:paraId="799CD27A" w14:textId="77777777" w:rsidR="00344079" w:rsidRPr="00F2629B" w:rsidRDefault="00344079" w:rsidP="001C7E0F">
      <w:pPr>
        <w:pStyle w:val="Akapitzlist"/>
        <w:numPr>
          <w:ilvl w:val="0"/>
          <w:numId w:val="2"/>
        </w:numPr>
        <w:spacing w:line="276" w:lineRule="auto"/>
        <w:ind w:left="714" w:hanging="357"/>
        <w:rPr>
          <w:rFonts w:ascii="Times New Roman" w:hAnsi="Times New Roman" w:cs="Times New Roman"/>
        </w:rPr>
      </w:pPr>
      <w:r w:rsidRPr="00F2629B">
        <w:rPr>
          <w:rFonts w:ascii="Times New Roman" w:hAnsi="Times New Roman" w:cs="Times New Roman"/>
        </w:rPr>
        <w:t>Tak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344079" w:rsidRPr="00344079" w14:paraId="08B28EF3" w14:textId="77777777" w:rsidTr="007227A4">
        <w:tc>
          <w:tcPr>
            <w:tcW w:w="9493" w:type="dxa"/>
          </w:tcPr>
          <w:p w14:paraId="104380D8" w14:textId="77777777" w:rsidR="00344079" w:rsidRPr="00F2629B" w:rsidRDefault="00344079" w:rsidP="001C7E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Projekt</w:t>
            </w:r>
            <w:r w:rsidRPr="00F2629B">
              <w:rPr>
                <w:rFonts w:ascii="Times New Roman" w:hAnsi="Times New Roman" w:cs="Times New Roman"/>
              </w:rPr>
              <w:t xml:space="preserve"> nie zawiera przepisów regulacyjnych oraz nie określa wymogów dotyczących świadczenia usług transgranicznych w rozumieniu ustawy z dnia 22 grudnia 2015 r. o zasadach uznawania kwalifikacji zawodowych nabytych w państwach członkowskich Unii Europejskiej (art. 34 ust. 2b regulaminu Sejmu).</w:t>
            </w:r>
          </w:p>
        </w:tc>
      </w:tr>
    </w:tbl>
    <w:p w14:paraId="4522C7C2" w14:textId="77777777" w:rsidR="00344079" w:rsidRPr="00344079" w:rsidRDefault="00344079" w:rsidP="001C7E0F">
      <w:pPr>
        <w:rPr>
          <w:rFonts w:ascii="Times New Roman" w:hAnsi="Times New Roman" w:cs="Times New Roman"/>
          <w:lang w:val="pl-PL"/>
        </w:rPr>
      </w:pPr>
    </w:p>
    <w:p w14:paraId="62564241" w14:textId="77777777" w:rsidR="00344079" w:rsidRPr="00344079" w:rsidRDefault="00344079" w:rsidP="001C7E0F">
      <w:pPr>
        <w:jc w:val="both"/>
        <w:rPr>
          <w:lang w:val="pl-PL"/>
        </w:rPr>
      </w:pPr>
    </w:p>
    <w:p w14:paraId="0A1A0675" w14:textId="77777777" w:rsidR="00344079" w:rsidRPr="00612C37" w:rsidRDefault="00344079" w:rsidP="001C7E0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sectPr w:rsidR="00344079" w:rsidRPr="00612C37">
      <w:headerReference w:type="default" r:id="rId7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20CE1" w14:textId="77777777" w:rsidR="0091645E" w:rsidRDefault="0091645E">
      <w:pPr>
        <w:spacing w:line="240" w:lineRule="auto"/>
      </w:pPr>
      <w:r>
        <w:separator/>
      </w:r>
    </w:p>
  </w:endnote>
  <w:endnote w:type="continuationSeparator" w:id="0">
    <w:p w14:paraId="25102C0A" w14:textId="77777777" w:rsidR="0091645E" w:rsidRDefault="00916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EE740C27-4DD5-4AA8-966D-0C4C2C054FC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A468DE3A-8173-4A75-AE6F-7655FACA750D}"/>
    <w:embedBold r:id="rId3" w:fontKey="{02500E83-2D69-42F7-B2AB-612F8F7BE21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89D6D2C6-ADC7-4C84-9C84-B2E9972FFBE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B91DE" w14:textId="77777777" w:rsidR="0091645E" w:rsidRDefault="0091645E">
      <w:pPr>
        <w:spacing w:line="240" w:lineRule="auto"/>
      </w:pPr>
      <w:r>
        <w:separator/>
      </w:r>
    </w:p>
  </w:footnote>
  <w:footnote w:type="continuationSeparator" w:id="0">
    <w:p w14:paraId="0E3997C8" w14:textId="77777777" w:rsidR="0091645E" w:rsidRDefault="009164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9" w14:textId="77777777" w:rsidR="006B2C55" w:rsidRDefault="006B2C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32EB2"/>
    <w:multiLevelType w:val="hybridMultilevel"/>
    <w:tmpl w:val="1E20F1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4746E"/>
    <w:multiLevelType w:val="hybridMultilevel"/>
    <w:tmpl w:val="0E3A31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487502">
    <w:abstractNumId w:val="1"/>
  </w:num>
  <w:num w:numId="2" w16cid:durableId="1496339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C55"/>
    <w:rsid w:val="00027E9F"/>
    <w:rsid w:val="000E2751"/>
    <w:rsid w:val="00196744"/>
    <w:rsid w:val="001C7E0F"/>
    <w:rsid w:val="002A702F"/>
    <w:rsid w:val="00344079"/>
    <w:rsid w:val="00612C37"/>
    <w:rsid w:val="00670DA7"/>
    <w:rsid w:val="00690CA8"/>
    <w:rsid w:val="006B2C55"/>
    <w:rsid w:val="007E39E5"/>
    <w:rsid w:val="008B5C66"/>
    <w:rsid w:val="0091645E"/>
    <w:rsid w:val="00AB75F9"/>
    <w:rsid w:val="00CE6240"/>
    <w:rsid w:val="00CF0D0F"/>
    <w:rsid w:val="00D22A78"/>
    <w:rsid w:val="00D7712A"/>
    <w:rsid w:val="00EA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84B5B"/>
  <w15:docId w15:val="{A79B0225-4956-4E96-8135-65B8C91B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2C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C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2C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C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2C37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344079"/>
    <w:pPr>
      <w:spacing w:after="160" w:line="259" w:lineRule="auto"/>
      <w:ind w:left="720"/>
      <w:contextualSpacing/>
    </w:pPr>
    <w:rPr>
      <w:rFonts w:ascii="Tahoma" w:eastAsiaTheme="minorHAnsi" w:hAnsi="Tahoma" w:cs="Tahoma"/>
      <w:kern w:val="2"/>
      <w:sz w:val="24"/>
      <w:szCs w:val="24"/>
      <w:lang w:val="pl-PL" w:eastAsia="en-US"/>
      <w14:ligatures w14:val="standardContextual"/>
    </w:rPr>
  </w:style>
  <w:style w:type="table" w:styleId="Tabela-Siatka">
    <w:name w:val="Table Grid"/>
    <w:basedOn w:val="Standardowy"/>
    <w:uiPriority w:val="39"/>
    <w:rsid w:val="00344079"/>
    <w:pPr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1703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Katana</dc:creator>
  <cp:lastModifiedBy>Tomasz Katana</cp:lastModifiedBy>
  <cp:revision>6</cp:revision>
  <cp:lastPrinted>2026-07-16T11:57:00Z</cp:lastPrinted>
  <dcterms:created xsi:type="dcterms:W3CDTF">2026-07-21T12:32:00Z</dcterms:created>
  <dcterms:modified xsi:type="dcterms:W3CDTF">2026-07-21T13:13:00Z</dcterms:modified>
</cp:coreProperties>
</file>