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9AF3" w14:textId="36224217" w:rsidR="00A351BD" w:rsidRPr="00F30639" w:rsidRDefault="00A351BD" w:rsidP="00F30639">
      <w:pPr>
        <w:pStyle w:val="CZKSIGAoznaczenieiprzedmiotczcilubksigi"/>
        <w:keepNext w:val="0"/>
        <w:rPr>
          <w:rFonts w:ascii="Times New Roman" w:hAnsi="Times New Roman"/>
          <w:b w:val="0"/>
          <w:bCs w:val="0"/>
        </w:rPr>
      </w:pPr>
      <w:r w:rsidRPr="00F30639">
        <w:rPr>
          <w:rFonts w:ascii="Times New Roman" w:hAnsi="Times New Roman"/>
          <w:b w:val="0"/>
          <w:bCs w:val="0"/>
        </w:rPr>
        <w:t>UZASADNIENIE</w:t>
      </w:r>
    </w:p>
    <w:p w14:paraId="521FD38F" w14:textId="028DC2BE" w:rsidR="00A351BD" w:rsidRPr="000B5827" w:rsidRDefault="00A351BD" w:rsidP="00A351BD">
      <w:pPr>
        <w:spacing w:before="120"/>
        <w:jc w:val="both"/>
        <w:rPr>
          <w:rFonts w:cs="Times New Roman"/>
          <w:szCs w:val="24"/>
        </w:rPr>
      </w:pPr>
      <w:r w:rsidRPr="00020254">
        <w:rPr>
          <w:rFonts w:cs="Times New Roman"/>
          <w:szCs w:val="24"/>
        </w:rPr>
        <w:t>Projekt ustawy</w:t>
      </w:r>
      <w:r>
        <w:rPr>
          <w:rFonts w:cs="Times New Roman"/>
          <w:szCs w:val="24"/>
        </w:rPr>
        <w:t xml:space="preserve"> wprowadza zmianę w ustawie </w:t>
      </w:r>
      <w:r w:rsidRPr="000420F0">
        <w:t xml:space="preserve">z dnia 24 września 2010 r. o ewidencji ludności (Dz. U. z </w:t>
      </w:r>
      <w:r w:rsidR="0051639B" w:rsidRPr="0051639B">
        <w:t xml:space="preserve">2026 </w:t>
      </w:r>
      <w:r w:rsidR="00816360">
        <w:t xml:space="preserve">r. </w:t>
      </w:r>
      <w:r w:rsidR="0051639B" w:rsidRPr="0051639B">
        <w:t>poz. 384</w:t>
      </w:r>
      <w:r>
        <w:rPr>
          <w:bCs/>
          <w:color w:val="000000"/>
          <w:spacing w:val="-2"/>
        </w:rPr>
        <w:t>)</w:t>
      </w:r>
      <w:r>
        <w:t xml:space="preserve">, która polega na rozszerzeniu o zakłady ubezpieczeń katalogu podmiotów uprawnionych do pozyskiwania </w:t>
      </w:r>
      <w:r w:rsidRPr="0035043D">
        <w:rPr>
          <w:rFonts w:cs="Times New Roman"/>
          <w:bCs/>
          <w:szCs w:val="24"/>
        </w:rPr>
        <w:t xml:space="preserve">z rejestru PESEL </w:t>
      </w:r>
      <w:r>
        <w:rPr>
          <w:rFonts w:cs="Times New Roman"/>
          <w:bCs/>
          <w:szCs w:val="24"/>
        </w:rPr>
        <w:t xml:space="preserve">danych </w:t>
      </w:r>
      <w:r w:rsidRPr="0035043D">
        <w:rPr>
          <w:rFonts w:cs="Times New Roman"/>
          <w:bCs/>
          <w:szCs w:val="24"/>
        </w:rPr>
        <w:t>w zakresie serii, numeru oraz daty ważności dowodu osobistego po wymianie dokumentu</w:t>
      </w:r>
      <w:r>
        <w:rPr>
          <w:rFonts w:cs="Times New Roman"/>
          <w:bCs/>
          <w:szCs w:val="24"/>
        </w:rPr>
        <w:t xml:space="preserve"> na nowy. </w:t>
      </w:r>
    </w:p>
    <w:p w14:paraId="5D5658E3" w14:textId="0FE2BB0B" w:rsidR="003864AF" w:rsidRDefault="00A351BD" w:rsidP="00AB2E7D">
      <w:pPr>
        <w:pStyle w:val="ARTartustawynprozporzdzenia"/>
        <w:ind w:firstLine="0"/>
      </w:pPr>
      <w:r w:rsidRPr="00F47E7B">
        <w:rPr>
          <w:rFonts w:cs="Times New Roman"/>
          <w:bCs/>
          <w:szCs w:val="24"/>
        </w:rPr>
        <w:t xml:space="preserve">Dotychczas </w:t>
      </w:r>
      <w:r w:rsidR="004B03ED">
        <w:rPr>
          <w:rFonts w:cs="Times New Roman"/>
          <w:bCs/>
          <w:szCs w:val="24"/>
        </w:rPr>
        <w:t xml:space="preserve">m.in. </w:t>
      </w:r>
      <w:r w:rsidRPr="00F47E7B">
        <w:rPr>
          <w:rFonts w:cs="Times New Roman"/>
          <w:bCs/>
          <w:szCs w:val="24"/>
        </w:rPr>
        <w:t>zakłady ubezpieczeń</w:t>
      </w:r>
      <w:r w:rsidR="00940E49">
        <w:rPr>
          <w:rFonts w:cs="Times New Roman"/>
          <w:bCs/>
          <w:szCs w:val="24"/>
        </w:rPr>
        <w:t>,</w:t>
      </w:r>
      <w:r w:rsidRPr="00F47E7B">
        <w:rPr>
          <w:rFonts w:cs="Times New Roman"/>
          <w:bCs/>
          <w:szCs w:val="24"/>
        </w:rPr>
        <w:t xml:space="preserve"> </w:t>
      </w:r>
      <w:r w:rsidR="00B62661" w:rsidRPr="000D74AE">
        <w:t>wykonując</w:t>
      </w:r>
      <w:r w:rsidR="00B62661">
        <w:t>e</w:t>
      </w:r>
      <w:r w:rsidR="00B62661" w:rsidRPr="000D74AE">
        <w:t xml:space="preserve"> na terytorium Rzeczypospolitej Polskiej działalność ubezpieczeniową, o</w:t>
      </w:r>
      <w:r w:rsidR="00B62661">
        <w:t> </w:t>
      </w:r>
      <w:r w:rsidR="00B62661" w:rsidRPr="000D74AE">
        <w:t>której mowa w</w:t>
      </w:r>
      <w:r w:rsidR="00B62661">
        <w:t> </w:t>
      </w:r>
      <w:r w:rsidR="00B62661" w:rsidRPr="000D74AE">
        <w:t>dziale I</w:t>
      </w:r>
      <w:r w:rsidR="00B62661">
        <w:t> </w:t>
      </w:r>
      <w:r w:rsidR="00B62661" w:rsidRPr="000D74AE">
        <w:t>załącznika do ustawy z</w:t>
      </w:r>
      <w:r w:rsidR="00B62661">
        <w:t> </w:t>
      </w:r>
      <w:r w:rsidR="00B62661" w:rsidRPr="000D74AE">
        <w:t>dnia 11</w:t>
      </w:r>
      <w:r w:rsidR="00B62661">
        <w:t> </w:t>
      </w:r>
      <w:r w:rsidR="00B62661" w:rsidRPr="000D74AE">
        <w:t>września 2015</w:t>
      </w:r>
      <w:r w:rsidR="00B62661">
        <w:t> </w:t>
      </w:r>
      <w:r w:rsidR="00B62661" w:rsidRPr="000D74AE">
        <w:t>r. o</w:t>
      </w:r>
      <w:r w:rsidR="00B62661">
        <w:t> </w:t>
      </w:r>
      <w:r w:rsidR="00B62661" w:rsidRPr="000D74AE">
        <w:t>działalności ubezpieczeniowej i</w:t>
      </w:r>
      <w:r w:rsidR="00B62661">
        <w:t> </w:t>
      </w:r>
      <w:r w:rsidR="00B62661" w:rsidRPr="000D74AE">
        <w:t>reasekuracyjnej</w:t>
      </w:r>
      <w:r w:rsidR="00B3698F" w:rsidRPr="00B3698F">
        <w:t xml:space="preserve"> (Dz. U. z 2025 r. poz. 1526</w:t>
      </w:r>
      <w:r w:rsidR="006B7753" w:rsidRPr="006B7753">
        <w:rPr>
          <w:rFonts w:ascii="Times New Roman" w:hAnsi="Times New Roman"/>
        </w:rPr>
        <w:t xml:space="preserve"> </w:t>
      </w:r>
      <w:r w:rsidR="006B7753" w:rsidRPr="006B7753">
        <w:t>oraz z 2026 r. poz. 176</w:t>
      </w:r>
      <w:r w:rsidR="00BE514A">
        <w:t>,</w:t>
      </w:r>
      <w:r w:rsidR="00042503">
        <w:t xml:space="preserve"> 644</w:t>
      </w:r>
      <w:r w:rsidR="00BE514A">
        <w:t xml:space="preserve"> i 846</w:t>
      </w:r>
      <w:r w:rsidR="00B3698F" w:rsidRPr="00B3698F">
        <w:t>)</w:t>
      </w:r>
      <w:r w:rsidR="00940E49">
        <w:t>,</w:t>
      </w:r>
      <w:r w:rsidR="00B62661" w:rsidRPr="000D74AE">
        <w:t xml:space="preserve"> </w:t>
      </w:r>
      <w:r w:rsidRPr="00F47E7B">
        <w:rPr>
          <w:rFonts w:cs="Times New Roman"/>
          <w:bCs/>
          <w:szCs w:val="24"/>
        </w:rPr>
        <w:t>nie miały możliwości automatycznego dostępu do aktualnych danych dotyczących serii, numeru oraz daty ważności dowodu osobistego swoich klientów po wymianie dokumentu na nowy. W praktyce oznaczało to konieczność wykonywania przez ubezpieczycieli i ich klientów dodatkowych działań polegających na aktualizacji danych, potwierdzaniu ich ważności czy nawiązaniu kontaktu z agentami ubezpieczeniowymi. Tego rodzaju czynności generowały znaczne koszty i obciążenia organizacyjne dla firm ubezpieczeniowych oraz powodowały niedogodności dla klientów np. w przypadku wypłaty odszkodowania z polisy.</w:t>
      </w:r>
    </w:p>
    <w:p w14:paraId="116B0C58" w14:textId="03D765E8" w:rsidR="003864AF" w:rsidRDefault="003864AF" w:rsidP="00AB2E7D">
      <w:pPr>
        <w:spacing w:before="12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M</w:t>
      </w:r>
      <w:r w:rsidRPr="00D06598">
        <w:rPr>
          <w:rFonts w:cstheme="minorHAnsi"/>
          <w:szCs w:val="24"/>
        </w:rPr>
        <w:t>ożliwoś</w:t>
      </w:r>
      <w:r>
        <w:rPr>
          <w:rFonts w:cstheme="minorHAnsi"/>
          <w:szCs w:val="24"/>
        </w:rPr>
        <w:t>ć</w:t>
      </w:r>
      <w:r w:rsidRPr="00D06598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uzyskania</w:t>
      </w:r>
      <w:r w:rsidRPr="00D06598">
        <w:rPr>
          <w:rFonts w:cstheme="minorHAnsi"/>
          <w:szCs w:val="24"/>
        </w:rPr>
        <w:t xml:space="preserve"> danych dotyczących dowodu osobistego </w:t>
      </w:r>
      <w:r w:rsidRPr="003939B8">
        <w:rPr>
          <w:rFonts w:cstheme="minorHAnsi"/>
          <w:color w:val="000000"/>
          <w:szCs w:val="24"/>
        </w:rPr>
        <w:t>w celu weryfikacji</w:t>
      </w:r>
      <w:r w:rsidRPr="00D06598">
        <w:rPr>
          <w:rFonts w:cstheme="minorHAnsi"/>
          <w:color w:val="000000"/>
          <w:szCs w:val="24"/>
        </w:rPr>
        <w:t xml:space="preserve"> </w:t>
      </w:r>
      <w:r w:rsidRPr="003939B8">
        <w:rPr>
          <w:rFonts w:cstheme="minorHAnsi"/>
          <w:color w:val="000000"/>
          <w:szCs w:val="24"/>
        </w:rPr>
        <w:t>aktualności i aktualizacji tych danych</w:t>
      </w:r>
      <w:r w:rsidRPr="00D06598">
        <w:rPr>
          <w:rFonts w:cstheme="minorHAnsi"/>
          <w:color w:val="000000"/>
          <w:szCs w:val="24"/>
        </w:rPr>
        <w:t xml:space="preserve"> będzie przysługiwał</w:t>
      </w:r>
      <w:r w:rsidR="001C13DA">
        <w:rPr>
          <w:rFonts w:cstheme="minorHAnsi"/>
          <w:color w:val="000000"/>
          <w:szCs w:val="24"/>
        </w:rPr>
        <w:t>a</w:t>
      </w:r>
      <w:r>
        <w:rPr>
          <w:rFonts w:cstheme="minorHAnsi"/>
          <w:color w:val="000000"/>
          <w:szCs w:val="24"/>
        </w:rPr>
        <w:t xml:space="preserve"> tylko</w:t>
      </w:r>
      <w:r w:rsidRPr="00D06598">
        <w:rPr>
          <w:rFonts w:cstheme="minorHAnsi"/>
          <w:color w:val="000000"/>
          <w:szCs w:val="24"/>
        </w:rPr>
        <w:t xml:space="preserve"> zakładom ubezpieczeń</w:t>
      </w:r>
      <w:r w:rsidRPr="00D06598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prowadzącym</w:t>
      </w:r>
      <w:r w:rsidRPr="00D06598">
        <w:rPr>
          <w:rFonts w:cstheme="minorHAnsi"/>
          <w:szCs w:val="24"/>
        </w:rPr>
        <w:t xml:space="preserve"> działalność określoną w dziale I załącznika do ustawy z dnia 11 września 2015 r. o działalności ubezpieczeniowej i reasekuracyjnej</w:t>
      </w:r>
      <w:r w:rsidR="00364CF0">
        <w:rPr>
          <w:rFonts w:cstheme="minorHAnsi"/>
          <w:szCs w:val="24"/>
        </w:rPr>
        <w:t>,</w:t>
      </w:r>
      <w:r w:rsidRPr="00D06598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tj.</w:t>
      </w:r>
      <w:r w:rsidRPr="00D06598">
        <w:rPr>
          <w:rFonts w:cstheme="minorHAnsi"/>
          <w:szCs w:val="24"/>
        </w:rPr>
        <w:t xml:space="preserve"> umów ubezpieczenia na życie.</w:t>
      </w:r>
      <w:r>
        <w:rPr>
          <w:rFonts w:cstheme="minorHAnsi"/>
          <w:szCs w:val="24"/>
        </w:rPr>
        <w:t xml:space="preserve"> Jest to związane z faktem, iż zakłady te jako </w:t>
      </w:r>
      <w:r w:rsidRPr="00D06598">
        <w:rPr>
          <w:rFonts w:cstheme="minorHAnsi"/>
          <w:szCs w:val="24"/>
        </w:rPr>
        <w:t>instytucje obowiązane podlegają</w:t>
      </w:r>
      <w:r>
        <w:rPr>
          <w:rFonts w:cstheme="minorHAnsi"/>
          <w:szCs w:val="24"/>
        </w:rPr>
        <w:t xml:space="preserve"> </w:t>
      </w:r>
      <w:r w:rsidRPr="00D06598">
        <w:rPr>
          <w:rFonts w:cstheme="minorHAnsi"/>
          <w:szCs w:val="24"/>
        </w:rPr>
        <w:t>wymogom ustaw</w:t>
      </w:r>
      <w:r>
        <w:rPr>
          <w:rFonts w:cstheme="minorHAnsi"/>
          <w:szCs w:val="24"/>
        </w:rPr>
        <w:t>y</w:t>
      </w:r>
      <w:r w:rsidRPr="00D06598">
        <w:rPr>
          <w:rFonts w:cstheme="minorHAnsi"/>
          <w:szCs w:val="24"/>
        </w:rPr>
        <w:t xml:space="preserve"> z dnia 1 marca 2018 r. o</w:t>
      </w:r>
      <w:r w:rsidR="00071C0B">
        <w:rPr>
          <w:rFonts w:cstheme="minorHAnsi"/>
          <w:szCs w:val="24"/>
        </w:rPr>
        <w:t> </w:t>
      </w:r>
      <w:r w:rsidRPr="00D06598">
        <w:rPr>
          <w:rFonts w:cstheme="minorHAnsi"/>
          <w:szCs w:val="24"/>
        </w:rPr>
        <w:t xml:space="preserve">przeciwdziałaniu praniu pieniędzy oraz finansowaniu terroryzmu (Dz. U. </w:t>
      </w:r>
      <w:r w:rsidR="004A2427">
        <w:rPr>
          <w:rFonts w:cstheme="minorHAnsi"/>
          <w:szCs w:val="24"/>
        </w:rPr>
        <w:t xml:space="preserve">z </w:t>
      </w:r>
      <w:r w:rsidRPr="00D06598">
        <w:rPr>
          <w:rFonts w:cstheme="minorHAnsi"/>
          <w:szCs w:val="24"/>
        </w:rPr>
        <w:t>2025 r. poz. 644</w:t>
      </w:r>
      <w:r w:rsidR="004A2427">
        <w:rPr>
          <w:rFonts w:cstheme="minorHAnsi"/>
          <w:szCs w:val="24"/>
        </w:rPr>
        <w:t xml:space="preserve"> i </w:t>
      </w:r>
      <w:r w:rsidR="004A2427" w:rsidRPr="004A2427">
        <w:rPr>
          <w:rFonts w:cstheme="minorHAnsi"/>
          <w:szCs w:val="24"/>
        </w:rPr>
        <w:t>1669</w:t>
      </w:r>
      <w:r w:rsidR="00112C45">
        <w:rPr>
          <w:rFonts w:cstheme="minorHAnsi"/>
          <w:szCs w:val="24"/>
        </w:rPr>
        <w:t xml:space="preserve"> oraz z 2026 r. poz. 875</w:t>
      </w:r>
      <w:r w:rsidR="00BF0C32">
        <w:rPr>
          <w:rFonts w:cstheme="minorHAnsi"/>
          <w:szCs w:val="24"/>
        </w:rPr>
        <w:t>)</w:t>
      </w:r>
      <w:r>
        <w:rPr>
          <w:rFonts w:cstheme="minorHAnsi"/>
          <w:szCs w:val="24"/>
        </w:rPr>
        <w:t xml:space="preserve">, </w:t>
      </w:r>
      <w:r w:rsidR="00BF0C32">
        <w:rPr>
          <w:rFonts w:cstheme="minorHAnsi"/>
          <w:szCs w:val="24"/>
        </w:rPr>
        <w:t>zwan</w:t>
      </w:r>
      <w:r w:rsidR="001F1A30">
        <w:rPr>
          <w:rFonts w:cstheme="minorHAnsi"/>
          <w:szCs w:val="24"/>
        </w:rPr>
        <w:t>ej</w:t>
      </w:r>
      <w:r w:rsidR="00BF0C32">
        <w:rPr>
          <w:rFonts w:cstheme="minorHAnsi"/>
          <w:szCs w:val="24"/>
        </w:rPr>
        <w:t xml:space="preserve"> dalej „</w:t>
      </w:r>
      <w:r>
        <w:rPr>
          <w:rFonts w:cstheme="minorHAnsi"/>
          <w:szCs w:val="24"/>
        </w:rPr>
        <w:t>ustaw</w:t>
      </w:r>
      <w:r w:rsidR="00BF0C32">
        <w:rPr>
          <w:rFonts w:cstheme="minorHAnsi"/>
          <w:szCs w:val="24"/>
        </w:rPr>
        <w:t>ą</w:t>
      </w:r>
      <w:r>
        <w:rPr>
          <w:rFonts w:cstheme="minorHAnsi"/>
          <w:szCs w:val="24"/>
        </w:rPr>
        <w:t xml:space="preserve"> AML</w:t>
      </w:r>
      <w:r w:rsidR="00BF0C32">
        <w:rPr>
          <w:rFonts w:cstheme="minorHAnsi"/>
          <w:szCs w:val="24"/>
        </w:rPr>
        <w:t>”</w:t>
      </w:r>
      <w:r>
        <w:rPr>
          <w:rFonts w:cstheme="minorHAnsi"/>
          <w:szCs w:val="24"/>
        </w:rPr>
        <w:t>.</w:t>
      </w:r>
      <w:r w:rsidRPr="003864AF">
        <w:rPr>
          <w:rFonts w:cstheme="minorHAnsi"/>
          <w:szCs w:val="24"/>
        </w:rPr>
        <w:t xml:space="preserve"> Instytucje </w:t>
      </w:r>
      <w:r w:rsidRPr="00FD51AF">
        <w:rPr>
          <w:rFonts w:cstheme="minorHAnsi"/>
          <w:szCs w:val="24"/>
        </w:rPr>
        <w:t>te</w:t>
      </w:r>
      <w:r w:rsidRPr="00E90738">
        <w:rPr>
          <w:rFonts w:cstheme="minorHAnsi"/>
          <w:szCs w:val="24"/>
        </w:rPr>
        <w:t xml:space="preserve"> z</w:t>
      </w:r>
      <w:r w:rsidRPr="00FD51AF">
        <w:rPr>
          <w:rFonts w:cstheme="minorHAnsi"/>
          <w:szCs w:val="24"/>
        </w:rPr>
        <w:t>obligowane</w:t>
      </w:r>
      <w:r w:rsidRPr="003864AF">
        <w:rPr>
          <w:rFonts w:cstheme="minorHAnsi"/>
          <w:szCs w:val="24"/>
        </w:rPr>
        <w:t xml:space="preserve"> są do stosowania środków bezpieczeństwa finansowego (zgodnie z art. 34 oraz art. 40 </w:t>
      </w:r>
      <w:r w:rsidR="00AB2E7D">
        <w:rPr>
          <w:rFonts w:cstheme="minorHAnsi"/>
          <w:szCs w:val="24"/>
        </w:rPr>
        <w:t>u</w:t>
      </w:r>
      <w:r w:rsidRPr="003864AF">
        <w:rPr>
          <w:rFonts w:cstheme="minorHAnsi"/>
          <w:szCs w:val="24"/>
        </w:rPr>
        <w:t xml:space="preserve">stawy AML) w stosunku do klienta, osoby upoważnionej do działania w jego imieniu, beneficjenta rzeczywistego oraz uprawnionego z umowy ubezpieczenia. Jednym ze środków bezpieczeństwa finansowego jest identyfikacja danych oraz ich weryfikacja na podstawie dokumentu stwierdzającego tożsamość osoby fizycznej, dokumentu zawierającego aktualne dane z wyciągu z właściwego rejestru lub innych dokumentów, danych lub informacji pochodzących z wiarygodnego i niezależnego źródła, w tym, o ile są dostępne, ze środków identyfikacji elektronicznej lub z odpowiednich usług zaufania określonych w </w:t>
      </w:r>
      <w:r w:rsidR="00BF0C32" w:rsidRPr="00BF0C32">
        <w:rPr>
          <w:rFonts w:cstheme="minorHAnsi"/>
          <w:szCs w:val="24"/>
        </w:rPr>
        <w:t>rozporządzeni</w:t>
      </w:r>
      <w:r w:rsidR="00BF0C32">
        <w:rPr>
          <w:rFonts w:cstheme="minorHAnsi"/>
          <w:szCs w:val="24"/>
        </w:rPr>
        <w:t>u</w:t>
      </w:r>
      <w:r w:rsidR="00BF0C32" w:rsidRPr="00BF0C32">
        <w:rPr>
          <w:rFonts w:cstheme="minorHAnsi"/>
          <w:szCs w:val="24"/>
        </w:rPr>
        <w:t xml:space="preserve"> Parlamentu Europejskiego i Rady (UE) nr 910/2014 z dnia 23 lipca 2014 r. w sprawie </w:t>
      </w:r>
      <w:r w:rsidR="00BF0C32" w:rsidRPr="00BF0C32">
        <w:rPr>
          <w:rFonts w:cstheme="minorHAnsi"/>
          <w:szCs w:val="24"/>
        </w:rPr>
        <w:lastRenderedPageBreak/>
        <w:t>identyfikacji elektronicznej i usług zaufania w</w:t>
      </w:r>
      <w:r w:rsidR="00071C0B">
        <w:rPr>
          <w:rFonts w:cstheme="minorHAnsi"/>
          <w:szCs w:val="24"/>
        </w:rPr>
        <w:t> </w:t>
      </w:r>
      <w:r w:rsidR="00BF0C32" w:rsidRPr="00BF0C32">
        <w:rPr>
          <w:rFonts w:cstheme="minorHAnsi"/>
          <w:szCs w:val="24"/>
        </w:rPr>
        <w:t>odniesieniu do transakcji elektronicznych na rynku wewnętrznym oraz uchylającego dyrektywę 1999/93/WE</w:t>
      </w:r>
      <w:r w:rsidR="00BB795D">
        <w:rPr>
          <w:rFonts w:cstheme="minorHAnsi"/>
          <w:szCs w:val="24"/>
        </w:rPr>
        <w:t xml:space="preserve"> </w:t>
      </w:r>
      <w:r w:rsidR="00BF0C32" w:rsidRPr="00BF0C32">
        <w:rPr>
          <w:rFonts w:cstheme="minorHAnsi"/>
          <w:szCs w:val="24"/>
        </w:rPr>
        <w:t>(Dz. Urz. UE L 257 z</w:t>
      </w:r>
      <w:r w:rsidR="00766E7F">
        <w:rPr>
          <w:rFonts w:cstheme="minorHAnsi"/>
          <w:szCs w:val="24"/>
        </w:rPr>
        <w:t> </w:t>
      </w:r>
      <w:r w:rsidR="00BF0C32" w:rsidRPr="00BF0C32">
        <w:rPr>
          <w:rFonts w:cstheme="minorHAnsi"/>
          <w:szCs w:val="24"/>
        </w:rPr>
        <w:t>28.08.2014,</w:t>
      </w:r>
      <w:r w:rsidR="004D7A4A">
        <w:rPr>
          <w:rFonts w:cstheme="minorHAnsi"/>
          <w:szCs w:val="24"/>
        </w:rPr>
        <w:t xml:space="preserve"> </w:t>
      </w:r>
      <w:r w:rsidR="000060A9">
        <w:rPr>
          <w:rFonts w:cstheme="minorHAnsi"/>
          <w:szCs w:val="24"/>
        </w:rPr>
        <w:t>st</w:t>
      </w:r>
      <w:r w:rsidR="004D7A4A">
        <w:rPr>
          <w:rFonts w:cstheme="minorHAnsi"/>
          <w:szCs w:val="24"/>
        </w:rPr>
        <w:t>r</w:t>
      </w:r>
      <w:r w:rsidR="000060A9">
        <w:rPr>
          <w:rFonts w:cstheme="minorHAnsi"/>
          <w:szCs w:val="24"/>
        </w:rPr>
        <w:t>. 73,</w:t>
      </w:r>
      <w:r w:rsidR="000060A9" w:rsidRPr="00BF0C32">
        <w:rPr>
          <w:rFonts w:cstheme="minorHAnsi"/>
          <w:szCs w:val="24"/>
        </w:rPr>
        <w:t xml:space="preserve"> </w:t>
      </w:r>
      <w:r w:rsidR="0020361A">
        <w:rPr>
          <w:rFonts w:cstheme="minorHAnsi"/>
          <w:szCs w:val="24"/>
        </w:rPr>
        <w:t>z późn. zm.</w:t>
      </w:r>
      <w:r w:rsidR="00BF0C32" w:rsidRPr="00BF0C32">
        <w:rPr>
          <w:rFonts w:cstheme="minorHAnsi"/>
          <w:szCs w:val="24"/>
        </w:rPr>
        <w:t>)</w:t>
      </w:r>
      <w:r w:rsidRPr="003864AF">
        <w:rPr>
          <w:rFonts w:cstheme="minorHAnsi"/>
          <w:szCs w:val="24"/>
        </w:rPr>
        <w:t xml:space="preserve"> (art. 37 </w:t>
      </w:r>
      <w:r w:rsidR="00AB2E7D">
        <w:rPr>
          <w:rFonts w:cstheme="minorHAnsi"/>
          <w:szCs w:val="24"/>
        </w:rPr>
        <w:t>u</w:t>
      </w:r>
      <w:r w:rsidRPr="003864AF">
        <w:rPr>
          <w:rFonts w:cstheme="minorHAnsi"/>
          <w:szCs w:val="24"/>
        </w:rPr>
        <w:t>stawy AML).</w:t>
      </w:r>
      <w:r w:rsidR="00E26AD3" w:rsidRPr="00E26AD3">
        <w:t xml:space="preserve"> </w:t>
      </w:r>
      <w:r w:rsidR="00E26AD3">
        <w:rPr>
          <w:rFonts w:ascii="Times" w:hAnsi="Times" w:cs="Times"/>
          <w:szCs w:val="24"/>
        </w:rPr>
        <w:t>U</w:t>
      </w:r>
      <w:r w:rsidR="00E26AD3" w:rsidRPr="00E26AD3">
        <w:rPr>
          <w:rFonts w:ascii="Times" w:hAnsi="Times" w:cs="Times"/>
          <w:szCs w:val="24"/>
        </w:rPr>
        <w:t>zyskanie dostępu do danych dotyczących dowodu osobistego pozwoli na potwierdzenie, że dane z dokumentu, którym posługuje się osoba</w:t>
      </w:r>
      <w:r w:rsidR="00554E26">
        <w:rPr>
          <w:rFonts w:ascii="Times" w:hAnsi="Times" w:cs="Times"/>
          <w:szCs w:val="24"/>
        </w:rPr>
        <w:t>,</w:t>
      </w:r>
      <w:r w:rsidR="00E26AD3" w:rsidRPr="00E26AD3">
        <w:rPr>
          <w:rFonts w:ascii="Times" w:hAnsi="Times" w:cs="Times"/>
          <w:szCs w:val="24"/>
        </w:rPr>
        <w:t xml:space="preserve"> są prawidłowe i figurują w</w:t>
      </w:r>
      <w:r w:rsidR="00DB4ED8">
        <w:rPr>
          <w:rFonts w:ascii="Times" w:hAnsi="Times" w:cs="Times"/>
          <w:szCs w:val="24"/>
        </w:rPr>
        <w:t> </w:t>
      </w:r>
      <w:r w:rsidR="00E26AD3" w:rsidRPr="00E26AD3">
        <w:rPr>
          <w:rFonts w:ascii="Times" w:hAnsi="Times" w:cs="Times"/>
          <w:szCs w:val="24"/>
        </w:rPr>
        <w:t>rejestrze referencyjnym</w:t>
      </w:r>
      <w:r w:rsidR="00554E26">
        <w:rPr>
          <w:rFonts w:ascii="Times" w:hAnsi="Times" w:cs="Times"/>
          <w:szCs w:val="24"/>
        </w:rPr>
        <w:t>,</w:t>
      </w:r>
      <w:r w:rsidR="00E26AD3" w:rsidRPr="00E26AD3">
        <w:rPr>
          <w:rFonts w:ascii="Times" w:hAnsi="Times" w:cs="Times"/>
          <w:szCs w:val="24"/>
        </w:rPr>
        <w:t xml:space="preserve"> tj. </w:t>
      </w:r>
      <w:r w:rsidR="00E26AD3">
        <w:rPr>
          <w:rFonts w:ascii="Times" w:hAnsi="Times" w:cs="Times"/>
          <w:szCs w:val="24"/>
        </w:rPr>
        <w:t>rejestrze PESEL</w:t>
      </w:r>
      <w:r w:rsidR="00E26AD3" w:rsidRPr="00E26AD3">
        <w:rPr>
          <w:rFonts w:ascii="Times" w:hAnsi="Times" w:cs="Times"/>
          <w:szCs w:val="24"/>
        </w:rPr>
        <w:t>. Rejestr ten stanowi zatem wiarygodne i</w:t>
      </w:r>
      <w:r w:rsidR="00DB4ED8">
        <w:rPr>
          <w:rFonts w:ascii="Times" w:hAnsi="Times" w:cs="Times"/>
          <w:szCs w:val="24"/>
        </w:rPr>
        <w:t> </w:t>
      </w:r>
      <w:r w:rsidR="00E26AD3" w:rsidRPr="00E26AD3">
        <w:rPr>
          <w:rFonts w:ascii="Times" w:hAnsi="Times" w:cs="Times"/>
          <w:szCs w:val="24"/>
        </w:rPr>
        <w:t xml:space="preserve">niezależne źródło potwierdzające dane. </w:t>
      </w:r>
    </w:p>
    <w:p w14:paraId="72432031" w14:textId="120C0A17" w:rsidR="00A351BD" w:rsidRPr="00F47E7B" w:rsidRDefault="00A351BD" w:rsidP="00A351BD">
      <w:pPr>
        <w:pStyle w:val="ARTartustawynprozporzdzenia"/>
        <w:ind w:firstLine="0"/>
        <w:rPr>
          <w:rFonts w:cs="Times New Roman"/>
          <w:bCs/>
          <w:szCs w:val="24"/>
        </w:rPr>
      </w:pPr>
      <w:r w:rsidRPr="00F47E7B">
        <w:rPr>
          <w:rFonts w:cs="Times New Roman"/>
          <w:bCs/>
          <w:szCs w:val="24"/>
        </w:rPr>
        <w:t>Zmiana w art. 49a w ust. 1 ustawy z dnia 24 września 2010 r. o ewidencji ludności</w:t>
      </w:r>
      <w:bookmarkStart w:id="0" w:name="_Hlk206586771"/>
      <w:r w:rsidRPr="00F47E7B">
        <w:rPr>
          <w:rFonts w:cs="Times New Roman"/>
          <w:bCs/>
          <w:szCs w:val="24"/>
        </w:rPr>
        <w:t xml:space="preserve"> </w:t>
      </w:r>
      <w:bookmarkEnd w:id="0"/>
      <w:r w:rsidRPr="00F47E7B">
        <w:rPr>
          <w:rFonts w:cs="Times New Roman"/>
          <w:bCs/>
          <w:szCs w:val="24"/>
        </w:rPr>
        <w:t xml:space="preserve">ma na celu umożliwienie zakładom ubezpieczeń bezpośredniego uzyskiwania tych danych z rejestru PESEL. Przepis art. 49a ustawy z dnia 24 września 2010 r. o ewidencji ludności (umożliwiający bankom i spółdzielczym </w:t>
      </w:r>
      <w:r w:rsidRPr="00751930">
        <w:rPr>
          <w:rFonts w:cs="Times New Roman"/>
          <w:bCs/>
          <w:szCs w:val="24"/>
        </w:rPr>
        <w:t>kasom oszczędnościowo-</w:t>
      </w:r>
      <w:r w:rsidR="00FD51AF" w:rsidRPr="00751930">
        <w:rPr>
          <w:rFonts w:cs="Times New Roman"/>
          <w:bCs/>
          <w:szCs w:val="24"/>
        </w:rPr>
        <w:t>kredytowym</w:t>
      </w:r>
      <w:r w:rsidRPr="00F47E7B">
        <w:rPr>
          <w:rFonts w:cs="Times New Roman"/>
          <w:bCs/>
          <w:szCs w:val="24"/>
        </w:rPr>
        <w:t xml:space="preserve"> automatyczny dostęp do aktualnych danych dotyczących serii, numeru oraz daty ważności dowodu osobistego swoich klientów po wymianie dokumentu na nowy) został wprowadzony ustawą z dnia 25 czerwca 2025 r. o zmianie ustawy o informatyzacji działalności podmiotów realizujących zadania publiczne oraz niektórych innych ustaw (Dz. U. poz. 1006). Ustawa ta realizowała postulaty zgłoszone w ramach inicjatyw deregulacyjnych MC-4-27 i MC-5-32. Propozycja rozszerzenia art. 49a ww. ustawy stanowi kontynuację zmian zapoczątkowanych inicjatywą deregulacyjną MC-4-27.</w:t>
      </w:r>
    </w:p>
    <w:p w14:paraId="1436F3A9" w14:textId="199447A2" w:rsidR="00A351BD" w:rsidRDefault="00A351BD" w:rsidP="00A351BD">
      <w:pPr>
        <w:pStyle w:val="ARTartustawynprozporzdzenia"/>
        <w:ind w:firstLine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Powyższa nowelizacja umożliwi</w:t>
      </w:r>
      <w:r w:rsidDel="00993040">
        <w:t xml:space="preserve"> </w:t>
      </w:r>
      <w:r w:rsidRPr="0035043D">
        <w:rPr>
          <w:rFonts w:cs="Times New Roman"/>
          <w:bCs/>
          <w:szCs w:val="24"/>
        </w:rPr>
        <w:t>zakład</w:t>
      </w:r>
      <w:r>
        <w:rPr>
          <w:rFonts w:cs="Times New Roman"/>
          <w:bCs/>
          <w:szCs w:val="24"/>
        </w:rPr>
        <w:t>om</w:t>
      </w:r>
      <w:r w:rsidRPr="0035043D">
        <w:rPr>
          <w:rFonts w:cs="Times New Roman"/>
          <w:bCs/>
          <w:szCs w:val="24"/>
        </w:rPr>
        <w:t xml:space="preserve"> ubezpieczeń </w:t>
      </w:r>
      <w:r>
        <w:rPr>
          <w:rFonts w:cs="Times New Roman"/>
          <w:bCs/>
          <w:szCs w:val="24"/>
        </w:rPr>
        <w:t xml:space="preserve">pozyskiwanie </w:t>
      </w:r>
      <w:r w:rsidRPr="0035043D">
        <w:rPr>
          <w:rFonts w:cs="Times New Roman"/>
          <w:bCs/>
          <w:szCs w:val="24"/>
        </w:rPr>
        <w:t>danych z rejestru PESEL w zakresie serii, numeru oraz daty ważności dowodu osobistego po wymianie dokumentu</w:t>
      </w:r>
      <w:r>
        <w:rPr>
          <w:rFonts w:cs="Times New Roman"/>
          <w:bCs/>
          <w:szCs w:val="24"/>
        </w:rPr>
        <w:t xml:space="preserve"> na nowy – co</w:t>
      </w:r>
      <w:r w:rsidRPr="0035043D">
        <w:rPr>
          <w:rFonts w:cs="Times New Roman"/>
          <w:bCs/>
          <w:szCs w:val="24"/>
        </w:rPr>
        <w:t xml:space="preserve"> przyczyni się do </w:t>
      </w:r>
      <w:r>
        <w:rPr>
          <w:rFonts w:cs="Times New Roman"/>
          <w:bCs/>
          <w:szCs w:val="24"/>
        </w:rPr>
        <w:t xml:space="preserve">poprawy jakości danych klientów, które przetwarzają ww. instytucje. Dodatkowo dzięki temu rozwiązaniu ulegną ograniczeniu </w:t>
      </w:r>
      <w:r w:rsidRPr="0035043D">
        <w:rPr>
          <w:rFonts w:cs="Times New Roman"/>
          <w:bCs/>
          <w:szCs w:val="24"/>
        </w:rPr>
        <w:t>obowiąz</w:t>
      </w:r>
      <w:r>
        <w:rPr>
          <w:rFonts w:cs="Times New Roman"/>
          <w:bCs/>
          <w:szCs w:val="24"/>
        </w:rPr>
        <w:t>ki</w:t>
      </w:r>
      <w:r w:rsidRPr="0035043D">
        <w:rPr>
          <w:rFonts w:cs="Times New Roman"/>
          <w:bCs/>
          <w:szCs w:val="24"/>
        </w:rPr>
        <w:t xml:space="preserve"> </w:t>
      </w:r>
      <w:r w:rsidRPr="006C6D2C">
        <w:rPr>
          <w:rFonts w:cs="Times New Roman"/>
          <w:bCs/>
          <w:szCs w:val="24"/>
        </w:rPr>
        <w:t>klient</w:t>
      </w:r>
      <w:r>
        <w:rPr>
          <w:rFonts w:cs="Times New Roman"/>
          <w:bCs/>
          <w:szCs w:val="24"/>
        </w:rPr>
        <w:t xml:space="preserve">a w celu </w:t>
      </w:r>
      <w:r w:rsidRPr="006C6D2C">
        <w:rPr>
          <w:rFonts w:cs="Times New Roman"/>
          <w:bCs/>
          <w:szCs w:val="24"/>
        </w:rPr>
        <w:t>aktualizacji danych w zakładzie ubezpieczeń</w:t>
      </w:r>
      <w:r>
        <w:rPr>
          <w:rFonts w:cs="Times New Roman"/>
          <w:bCs/>
          <w:szCs w:val="24"/>
        </w:rPr>
        <w:t>.</w:t>
      </w:r>
      <w:r w:rsidRPr="006C6D2C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W przypadku u</w:t>
      </w:r>
      <w:r w:rsidRPr="006C6D2C">
        <w:rPr>
          <w:rFonts w:cs="Times New Roman"/>
          <w:bCs/>
          <w:szCs w:val="24"/>
        </w:rPr>
        <w:t>bezpieczyciel</w:t>
      </w:r>
      <w:r>
        <w:rPr>
          <w:rFonts w:cs="Times New Roman"/>
          <w:bCs/>
          <w:szCs w:val="24"/>
        </w:rPr>
        <w:t>a</w:t>
      </w:r>
      <w:r w:rsidRPr="006C6D2C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zmniejszy się liczba</w:t>
      </w:r>
      <w:r w:rsidRPr="006C6D2C">
        <w:rPr>
          <w:rFonts w:cs="Times New Roman"/>
          <w:bCs/>
          <w:szCs w:val="24"/>
        </w:rPr>
        <w:t xml:space="preserve"> czynności związanych z </w:t>
      </w:r>
      <w:r>
        <w:rPr>
          <w:rFonts w:cs="Times New Roman"/>
          <w:bCs/>
          <w:szCs w:val="24"/>
        </w:rPr>
        <w:t xml:space="preserve">koniecznością </w:t>
      </w:r>
      <w:r w:rsidRPr="006C6D2C">
        <w:rPr>
          <w:rFonts w:cs="Times New Roman"/>
          <w:bCs/>
          <w:szCs w:val="24"/>
        </w:rPr>
        <w:t>poinformowani</w:t>
      </w:r>
      <w:r>
        <w:rPr>
          <w:rFonts w:cs="Times New Roman"/>
          <w:bCs/>
          <w:szCs w:val="24"/>
        </w:rPr>
        <w:t>a</w:t>
      </w:r>
      <w:r w:rsidRPr="006C6D2C">
        <w:rPr>
          <w:rFonts w:cs="Times New Roman"/>
          <w:bCs/>
          <w:szCs w:val="24"/>
        </w:rPr>
        <w:t xml:space="preserve"> klienta o </w:t>
      </w:r>
      <w:r>
        <w:rPr>
          <w:rFonts w:cs="Times New Roman"/>
          <w:bCs/>
          <w:szCs w:val="24"/>
        </w:rPr>
        <w:t xml:space="preserve">obowiązku </w:t>
      </w:r>
      <w:r w:rsidRPr="006C6D2C">
        <w:rPr>
          <w:rFonts w:cs="Times New Roman"/>
          <w:bCs/>
          <w:szCs w:val="24"/>
        </w:rPr>
        <w:t>aktualizacji danych lub potwierdzenia ich aktualności</w:t>
      </w:r>
      <w:r>
        <w:rPr>
          <w:rFonts w:cs="Times New Roman"/>
          <w:bCs/>
          <w:szCs w:val="24"/>
        </w:rPr>
        <w:t xml:space="preserve">. Tego rodzaju zadania </w:t>
      </w:r>
      <w:r w:rsidRPr="006C6D2C">
        <w:rPr>
          <w:rFonts w:cs="Times New Roman"/>
          <w:bCs/>
          <w:szCs w:val="24"/>
        </w:rPr>
        <w:t>generują koszty</w:t>
      </w:r>
      <w:r>
        <w:rPr>
          <w:rFonts w:cs="Times New Roman"/>
          <w:bCs/>
          <w:szCs w:val="24"/>
        </w:rPr>
        <w:t xml:space="preserve">, ponieważ wymagają </w:t>
      </w:r>
      <w:r w:rsidRPr="006C6D2C">
        <w:rPr>
          <w:rFonts w:cs="Times New Roman"/>
          <w:bCs/>
          <w:szCs w:val="24"/>
        </w:rPr>
        <w:t>wizyt agentów</w:t>
      </w:r>
      <w:r>
        <w:rPr>
          <w:rFonts w:cs="Times New Roman"/>
          <w:bCs/>
          <w:szCs w:val="24"/>
        </w:rPr>
        <w:t xml:space="preserve"> lub</w:t>
      </w:r>
      <w:r w:rsidRPr="006C6D2C">
        <w:rPr>
          <w:rFonts w:cs="Times New Roman"/>
          <w:bCs/>
          <w:szCs w:val="24"/>
        </w:rPr>
        <w:t xml:space="preserve"> dedykowan</w:t>
      </w:r>
      <w:r>
        <w:rPr>
          <w:rFonts w:cs="Times New Roman"/>
          <w:bCs/>
          <w:szCs w:val="24"/>
        </w:rPr>
        <w:t>ej</w:t>
      </w:r>
      <w:r w:rsidRPr="006C6D2C">
        <w:rPr>
          <w:rFonts w:cs="Times New Roman"/>
          <w:bCs/>
          <w:szCs w:val="24"/>
        </w:rPr>
        <w:t xml:space="preserve"> korespondencj</w:t>
      </w:r>
      <w:r>
        <w:rPr>
          <w:rFonts w:cs="Times New Roman"/>
          <w:bCs/>
          <w:szCs w:val="24"/>
        </w:rPr>
        <w:t>i</w:t>
      </w:r>
      <w:r w:rsidRPr="006C6D2C">
        <w:rPr>
          <w:rFonts w:cs="Times New Roman"/>
          <w:bCs/>
          <w:szCs w:val="24"/>
        </w:rPr>
        <w:t xml:space="preserve"> do klienta. </w:t>
      </w:r>
      <w:r>
        <w:rPr>
          <w:rFonts w:cs="Times New Roman"/>
          <w:bCs/>
          <w:szCs w:val="24"/>
        </w:rPr>
        <w:t>Sytuacja ta</w:t>
      </w:r>
      <w:r w:rsidRPr="006C6D2C">
        <w:rPr>
          <w:rFonts w:cs="Times New Roman"/>
          <w:bCs/>
          <w:szCs w:val="24"/>
        </w:rPr>
        <w:t xml:space="preserve"> dotyczy rocznie kilku milionów klientów zakładów ubezpieczeń.</w:t>
      </w:r>
    </w:p>
    <w:p w14:paraId="4ECD439A" w14:textId="796D33D8" w:rsidR="00DA79A8" w:rsidRDefault="00DA79A8" w:rsidP="00A351BD">
      <w:pPr>
        <w:pStyle w:val="ARTartustawynprozporzdzenia"/>
        <w:ind w:firstLine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Zmiana w art. 49a </w:t>
      </w:r>
      <w:r w:rsidR="00F61EFB">
        <w:rPr>
          <w:rFonts w:cs="Times New Roman"/>
          <w:bCs/>
          <w:szCs w:val="24"/>
        </w:rPr>
        <w:t xml:space="preserve">w </w:t>
      </w:r>
      <w:r>
        <w:rPr>
          <w:rFonts w:cs="Times New Roman"/>
          <w:bCs/>
          <w:szCs w:val="24"/>
        </w:rPr>
        <w:t>ust. 2 ma na celu doprecyzowanie katalogu podmiotów, któr</w:t>
      </w:r>
      <w:r w:rsidR="00974F84">
        <w:rPr>
          <w:rFonts w:cs="Times New Roman"/>
          <w:bCs/>
          <w:szCs w:val="24"/>
        </w:rPr>
        <w:t>ym dane</w:t>
      </w:r>
      <w:r w:rsidR="00735211">
        <w:rPr>
          <w:rFonts w:cs="Times New Roman"/>
          <w:bCs/>
          <w:szCs w:val="24"/>
        </w:rPr>
        <w:t xml:space="preserve"> dotyczące dowodów osobistych z rejestru PESEL</w:t>
      </w:r>
      <w:r>
        <w:rPr>
          <w:rFonts w:cs="Times New Roman"/>
          <w:bCs/>
          <w:szCs w:val="24"/>
        </w:rPr>
        <w:t xml:space="preserve"> będą mogły </w:t>
      </w:r>
      <w:r w:rsidRPr="002A7129">
        <w:t>być udostępniane za pośrednictwem instytucji utworzonej na podstawie art. 105 ust. 4 ustawy z dnia 29 sierpnia 1997 r. – Prawo bankowe</w:t>
      </w:r>
      <w:r w:rsidR="00B7517A">
        <w:t xml:space="preserve"> (Dz. U. z 2026 r. poz. 38, z późn. zm.)</w:t>
      </w:r>
      <w:r w:rsidR="00920D47">
        <w:t>.</w:t>
      </w:r>
      <w:r w:rsidR="00735211">
        <w:t xml:space="preserve"> Jest to niezbędne, gdyż krąg podmiotów wymienionych w art. 105 ust. 4 </w:t>
      </w:r>
      <w:r w:rsidR="00E907CB">
        <w:t xml:space="preserve">ww. </w:t>
      </w:r>
      <w:r w:rsidR="00735211">
        <w:t xml:space="preserve">ustawy </w:t>
      </w:r>
      <w:r w:rsidR="00E907CB">
        <w:t>–</w:t>
      </w:r>
      <w:r w:rsidR="00F24014">
        <w:t xml:space="preserve"> </w:t>
      </w:r>
      <w:r w:rsidR="00735211">
        <w:t xml:space="preserve">Prawo bakowe mogących korzystać z powyższego pośrednictwa jest szerszy niż wskazany w art. 49a ust. 1 ustawy </w:t>
      </w:r>
      <w:r w:rsidR="005B0F36">
        <w:t xml:space="preserve">z dnia </w:t>
      </w:r>
      <w:r w:rsidR="005B0F36">
        <w:lastRenderedPageBreak/>
        <w:t>24</w:t>
      </w:r>
      <w:r w:rsidR="007B3F4B">
        <w:t> </w:t>
      </w:r>
      <w:r w:rsidR="005B0F36">
        <w:t xml:space="preserve">września 2010 r. </w:t>
      </w:r>
      <w:r w:rsidR="00735211">
        <w:t>o ewidencji ludności zarówno w brzmieniu obecnie obowiązującym</w:t>
      </w:r>
      <w:r w:rsidR="00F24014">
        <w:t>,</w:t>
      </w:r>
      <w:r w:rsidR="00735211">
        <w:t xml:space="preserve"> jak i proponowanym w niniejszym projekcie. Nie figurują w nim np. instytucje pożyczkowe czy krajowe instytucje płatnicze.</w:t>
      </w:r>
    </w:p>
    <w:p w14:paraId="52F9A526" w14:textId="091412F0" w:rsidR="003864AF" w:rsidRDefault="003864AF" w:rsidP="00A351BD">
      <w:pPr>
        <w:pStyle w:val="ARTartustawynprozporzdzenia"/>
        <w:ind w:firstLine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P</w:t>
      </w:r>
      <w:r w:rsidRPr="003864AF">
        <w:rPr>
          <w:rFonts w:cs="Times New Roman"/>
          <w:bCs/>
          <w:szCs w:val="24"/>
        </w:rPr>
        <w:t xml:space="preserve">rojektodawca przeanalizował wpływ rozszerzenia </w:t>
      </w:r>
      <w:r>
        <w:rPr>
          <w:rFonts w:cs="Times New Roman"/>
          <w:bCs/>
          <w:szCs w:val="24"/>
        </w:rPr>
        <w:t xml:space="preserve">katalogu podmiotów uprawnionych do </w:t>
      </w:r>
      <w:r w:rsidRPr="003864AF">
        <w:rPr>
          <w:rFonts w:cs="Times New Roman"/>
          <w:bCs/>
          <w:szCs w:val="24"/>
        </w:rPr>
        <w:t>dostępu do rejestru PESEL na prawa i wolności osób fizycznych oraz uznał to rozwiązanie za proporcjonalne i adekwatne, nieskutkujące</w:t>
      </w:r>
      <w:r>
        <w:rPr>
          <w:rFonts w:cs="Times New Roman"/>
          <w:bCs/>
          <w:szCs w:val="24"/>
        </w:rPr>
        <w:t xml:space="preserve"> </w:t>
      </w:r>
      <w:r w:rsidRPr="003864AF">
        <w:rPr>
          <w:rFonts w:cs="Times New Roman"/>
          <w:bCs/>
          <w:szCs w:val="24"/>
        </w:rPr>
        <w:t>poważnymi ryzykami naruszenia tych praw.</w:t>
      </w:r>
    </w:p>
    <w:p w14:paraId="63212BB1" w14:textId="09D251FD" w:rsidR="00BC3B6F" w:rsidRPr="002743F2" w:rsidRDefault="00BC3B6F" w:rsidP="00F24014">
      <w:pPr>
        <w:pStyle w:val="ARTartustawynprozporzdzenia"/>
        <w:ind w:firstLine="0"/>
        <w:rPr>
          <w:rFonts w:cs="Times New Roman"/>
          <w:bCs/>
          <w:szCs w:val="24"/>
        </w:rPr>
      </w:pPr>
      <w:r w:rsidRPr="002743F2">
        <w:rPr>
          <w:rFonts w:cs="Times New Roman"/>
          <w:bCs/>
          <w:szCs w:val="24"/>
        </w:rPr>
        <w:t xml:space="preserve">Art. 2 </w:t>
      </w:r>
      <w:r w:rsidR="00042503">
        <w:rPr>
          <w:rFonts w:cs="Times New Roman"/>
          <w:bCs/>
          <w:szCs w:val="24"/>
        </w:rPr>
        <w:t xml:space="preserve">projektu ustawy </w:t>
      </w:r>
      <w:r w:rsidRPr="002743F2">
        <w:rPr>
          <w:rFonts w:cs="Times New Roman"/>
          <w:bCs/>
          <w:szCs w:val="24"/>
        </w:rPr>
        <w:t>przewiduje zachowanie w mocy dotychczasowych przepisów wykonawczych wydanych na podstawie art. 56 ustawy z dnia 24 września 2010 r. o ewidencji ludności. Rozwiązanie to jest uzasadnione koniecznością zapewnienia ciągłości obowiązywania regulacji dotyczących opłat za udostępnianie danych z rejestru PESEL</w:t>
      </w:r>
      <w:r w:rsidR="00811D2F">
        <w:rPr>
          <w:rFonts w:cs="Times New Roman"/>
          <w:bCs/>
          <w:szCs w:val="24"/>
        </w:rPr>
        <w:t>, po wejściu w życie projektowanej ustawy.</w:t>
      </w:r>
    </w:p>
    <w:p w14:paraId="0A960390" w14:textId="4F19D385" w:rsidR="00BC3B6F" w:rsidRPr="002743F2" w:rsidRDefault="00BC3B6F" w:rsidP="00F24014">
      <w:pPr>
        <w:pStyle w:val="ARTartustawynprozporzdzenia"/>
        <w:ind w:firstLine="0"/>
        <w:rPr>
          <w:rFonts w:cs="Times New Roman"/>
          <w:bCs/>
          <w:szCs w:val="24"/>
        </w:rPr>
      </w:pPr>
      <w:r w:rsidRPr="002743F2">
        <w:rPr>
          <w:rFonts w:cs="Times New Roman"/>
          <w:bCs/>
          <w:szCs w:val="24"/>
        </w:rPr>
        <w:t xml:space="preserve">Należy wskazać, że zmiany polegające na dodaniu art. 49a oraz zmianie art. 56 ustawy </w:t>
      </w:r>
      <w:r w:rsidR="00DB4ED8" w:rsidRPr="002743F2">
        <w:rPr>
          <w:rFonts w:cs="Times New Roman"/>
          <w:bCs/>
          <w:szCs w:val="24"/>
        </w:rPr>
        <w:t>z</w:t>
      </w:r>
      <w:r w:rsidR="00DB4ED8">
        <w:rPr>
          <w:rFonts w:cs="Times New Roman"/>
          <w:bCs/>
          <w:szCs w:val="24"/>
        </w:rPr>
        <w:t> </w:t>
      </w:r>
      <w:r w:rsidR="00DB4ED8" w:rsidRPr="002743F2">
        <w:rPr>
          <w:rFonts w:cs="Times New Roman"/>
          <w:bCs/>
          <w:szCs w:val="24"/>
        </w:rPr>
        <w:t xml:space="preserve">dnia 24 września 2010 r. </w:t>
      </w:r>
      <w:r w:rsidRPr="002743F2">
        <w:rPr>
          <w:rFonts w:cs="Times New Roman"/>
          <w:bCs/>
          <w:szCs w:val="24"/>
        </w:rPr>
        <w:t>o</w:t>
      </w:r>
      <w:r w:rsidR="00DB4ED8">
        <w:rPr>
          <w:rFonts w:cs="Times New Roman"/>
          <w:bCs/>
          <w:szCs w:val="24"/>
        </w:rPr>
        <w:t> </w:t>
      </w:r>
      <w:r w:rsidRPr="002743F2">
        <w:rPr>
          <w:rFonts w:cs="Times New Roman"/>
          <w:bCs/>
          <w:szCs w:val="24"/>
        </w:rPr>
        <w:t>ewidencji ludności zostały już wcześniej przewidziane ustawą z</w:t>
      </w:r>
      <w:r w:rsidR="00DB4ED8">
        <w:rPr>
          <w:rFonts w:cs="Times New Roman"/>
          <w:bCs/>
          <w:szCs w:val="24"/>
        </w:rPr>
        <w:t> </w:t>
      </w:r>
      <w:r w:rsidRPr="002743F2">
        <w:rPr>
          <w:rFonts w:cs="Times New Roman"/>
          <w:bCs/>
          <w:szCs w:val="24"/>
        </w:rPr>
        <w:t>dnia 2</w:t>
      </w:r>
      <w:r w:rsidR="00A5703A">
        <w:rPr>
          <w:rFonts w:cs="Times New Roman"/>
          <w:bCs/>
          <w:szCs w:val="24"/>
        </w:rPr>
        <w:t>5</w:t>
      </w:r>
      <w:r w:rsidR="00766E7F">
        <w:rPr>
          <w:rFonts w:cs="Times New Roman"/>
          <w:bCs/>
          <w:szCs w:val="24"/>
        </w:rPr>
        <w:t> </w:t>
      </w:r>
      <w:r w:rsidRPr="002743F2">
        <w:rPr>
          <w:rFonts w:cs="Times New Roman"/>
          <w:bCs/>
          <w:szCs w:val="24"/>
        </w:rPr>
        <w:t>czerwca 2025 r. o zmianie ustawy o informatyzacji działalności podmiotów realizujących zadania publiczne oraz niektórych innych ustaw i we</w:t>
      </w:r>
      <w:r w:rsidR="00A5703A">
        <w:rPr>
          <w:rFonts w:cs="Times New Roman"/>
          <w:bCs/>
          <w:szCs w:val="24"/>
        </w:rPr>
        <w:t xml:space="preserve">szły </w:t>
      </w:r>
      <w:r w:rsidRPr="002743F2">
        <w:rPr>
          <w:rFonts w:cs="Times New Roman"/>
          <w:bCs/>
          <w:szCs w:val="24"/>
        </w:rPr>
        <w:t xml:space="preserve">w życie z dniem 30 czerwca 2026 r. Ustawa ta </w:t>
      </w:r>
      <w:r w:rsidR="00033479">
        <w:rPr>
          <w:rFonts w:cs="Times New Roman"/>
          <w:bCs/>
          <w:szCs w:val="24"/>
        </w:rPr>
        <w:t xml:space="preserve">wprowadziła zmianę w przepisie art. 56 stanowiącym </w:t>
      </w:r>
      <w:r w:rsidRPr="002743F2">
        <w:rPr>
          <w:rFonts w:cs="Times New Roman"/>
          <w:bCs/>
          <w:szCs w:val="24"/>
        </w:rPr>
        <w:t>podstawę ustawową do wydania rozporządzenia określającego m.in. wysokość opłat za udostępnianie danych w drodze weryfikacji oraz za udostępnianie danych dotyczących serii, numeru i daty ważności dowodu osobistego.</w:t>
      </w:r>
    </w:p>
    <w:p w14:paraId="1A9504CD" w14:textId="25F89AA9" w:rsidR="00811D2F" w:rsidRPr="00811D2F" w:rsidRDefault="002A0A54" w:rsidP="00BA58B7">
      <w:pPr>
        <w:pStyle w:val="ARTartustawynprozporzdzenia"/>
        <w:ind w:firstLine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Zgodnie z </w:t>
      </w:r>
      <w:r w:rsidR="00A5703A">
        <w:rPr>
          <w:rFonts w:cs="Times New Roman"/>
          <w:bCs/>
          <w:szCs w:val="24"/>
        </w:rPr>
        <w:t xml:space="preserve">rozporządzeniem Rady Ministrów </w:t>
      </w:r>
      <w:r w:rsidR="00A5703A" w:rsidRPr="00A5703A">
        <w:rPr>
          <w:rFonts w:cs="Times New Roman"/>
          <w:bCs/>
          <w:szCs w:val="24"/>
        </w:rPr>
        <w:t>z dnia 25 czerwca 2026 r.</w:t>
      </w:r>
      <w:r w:rsidR="00A5703A">
        <w:rPr>
          <w:rFonts w:cs="Times New Roman"/>
          <w:bCs/>
          <w:szCs w:val="24"/>
        </w:rPr>
        <w:t xml:space="preserve"> </w:t>
      </w:r>
      <w:r w:rsidR="00A5703A" w:rsidRPr="00A5703A">
        <w:rPr>
          <w:rFonts w:cs="Times New Roman"/>
          <w:bCs/>
          <w:szCs w:val="24"/>
        </w:rPr>
        <w:t>w sprawie opłat za udostępnianie danych z rejestru mieszkańców oraz rejestru PESEL</w:t>
      </w:r>
      <w:r w:rsidR="00A5703A">
        <w:rPr>
          <w:rFonts w:cs="Times New Roman"/>
          <w:bCs/>
          <w:szCs w:val="24"/>
        </w:rPr>
        <w:t xml:space="preserve"> (Dz. U. poz. 861), </w:t>
      </w:r>
      <w:r w:rsidR="00BC3B6F" w:rsidRPr="002743F2">
        <w:rPr>
          <w:rFonts w:cs="Times New Roman"/>
          <w:bCs/>
          <w:szCs w:val="24"/>
        </w:rPr>
        <w:t>wydan</w:t>
      </w:r>
      <w:r w:rsidR="00A5703A">
        <w:rPr>
          <w:rFonts w:cs="Times New Roman"/>
          <w:bCs/>
          <w:szCs w:val="24"/>
        </w:rPr>
        <w:t>ym</w:t>
      </w:r>
      <w:r w:rsidR="00BC3B6F" w:rsidRPr="002743F2">
        <w:rPr>
          <w:rFonts w:cs="Times New Roman"/>
          <w:bCs/>
          <w:szCs w:val="24"/>
        </w:rPr>
        <w:t xml:space="preserve"> na podstawie art.</w:t>
      </w:r>
      <w:r w:rsidR="00DB4ED8">
        <w:rPr>
          <w:rFonts w:cs="Times New Roman"/>
          <w:bCs/>
          <w:szCs w:val="24"/>
        </w:rPr>
        <w:t> </w:t>
      </w:r>
      <w:r w:rsidR="00BC3B6F" w:rsidRPr="002743F2">
        <w:rPr>
          <w:rFonts w:cs="Times New Roman"/>
          <w:bCs/>
          <w:szCs w:val="24"/>
        </w:rPr>
        <w:t>56</w:t>
      </w:r>
      <w:r w:rsidR="00DB4ED8">
        <w:rPr>
          <w:rFonts w:cs="Times New Roman"/>
          <w:bCs/>
          <w:szCs w:val="24"/>
        </w:rPr>
        <w:t> </w:t>
      </w:r>
      <w:r w:rsidR="00BC3B6F" w:rsidRPr="002743F2">
        <w:rPr>
          <w:rFonts w:cs="Times New Roman"/>
          <w:bCs/>
          <w:szCs w:val="24"/>
        </w:rPr>
        <w:t xml:space="preserve">ustawy </w:t>
      </w:r>
      <w:r w:rsidR="00DB4ED8" w:rsidRPr="00DB4ED8">
        <w:rPr>
          <w:rFonts w:cs="Times New Roman"/>
          <w:bCs/>
          <w:szCs w:val="24"/>
        </w:rPr>
        <w:t xml:space="preserve">z dnia 24 września 2010 r. </w:t>
      </w:r>
      <w:r w:rsidR="00BC3B6F" w:rsidRPr="002743F2">
        <w:rPr>
          <w:rFonts w:cs="Times New Roman"/>
          <w:bCs/>
          <w:szCs w:val="24"/>
        </w:rPr>
        <w:t>o ewidencji ludności</w:t>
      </w:r>
      <w:r w:rsidR="00033479">
        <w:rPr>
          <w:rFonts w:cs="Times New Roman"/>
          <w:bCs/>
          <w:szCs w:val="24"/>
        </w:rPr>
        <w:t xml:space="preserve">, </w:t>
      </w:r>
      <w:r w:rsidR="00DB4ED8">
        <w:rPr>
          <w:rFonts w:cs="Times New Roman"/>
          <w:bCs/>
          <w:szCs w:val="24"/>
        </w:rPr>
        <w:t xml:space="preserve">obowiązującym </w:t>
      </w:r>
      <w:r w:rsidR="00033479">
        <w:rPr>
          <w:rFonts w:cs="Times New Roman"/>
          <w:bCs/>
          <w:szCs w:val="24"/>
        </w:rPr>
        <w:t>od 30 czerwca 2026 r.,</w:t>
      </w:r>
      <w:r w:rsidR="00BC3B6F" w:rsidRPr="002743F2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Rada Ministrów </w:t>
      </w:r>
      <w:r w:rsidR="00BC3B6F" w:rsidRPr="002743F2">
        <w:rPr>
          <w:rFonts w:cs="Times New Roman"/>
          <w:bCs/>
          <w:szCs w:val="24"/>
        </w:rPr>
        <w:t>określ</w:t>
      </w:r>
      <w:r>
        <w:rPr>
          <w:rFonts w:cs="Times New Roman"/>
          <w:bCs/>
          <w:szCs w:val="24"/>
        </w:rPr>
        <w:t>i</w:t>
      </w:r>
      <w:r w:rsidR="00A5703A">
        <w:rPr>
          <w:rFonts w:cs="Times New Roman"/>
          <w:bCs/>
          <w:szCs w:val="24"/>
        </w:rPr>
        <w:t>ła</w:t>
      </w:r>
      <w:r>
        <w:rPr>
          <w:rFonts w:cs="Times New Roman"/>
          <w:bCs/>
          <w:szCs w:val="24"/>
        </w:rPr>
        <w:t>:</w:t>
      </w:r>
    </w:p>
    <w:p w14:paraId="0FB73F79" w14:textId="2A63CD18" w:rsidR="00811D2F" w:rsidRPr="00811D2F" w:rsidRDefault="00811D2F" w:rsidP="00F30639">
      <w:pPr>
        <w:pStyle w:val="ARTartustawynprozporzdzenia"/>
        <w:spacing w:before="0"/>
        <w:ind w:left="335" w:hanging="335"/>
        <w:rPr>
          <w:rFonts w:cs="Times New Roman"/>
          <w:bCs/>
          <w:szCs w:val="24"/>
        </w:rPr>
      </w:pPr>
      <w:r w:rsidRPr="00811D2F">
        <w:rPr>
          <w:rFonts w:cs="Times New Roman"/>
          <w:bCs/>
          <w:szCs w:val="24"/>
        </w:rPr>
        <w:t>1)</w:t>
      </w:r>
      <w:r w:rsidR="00E907CB">
        <w:rPr>
          <w:rFonts w:cs="Times New Roman"/>
          <w:bCs/>
          <w:szCs w:val="24"/>
        </w:rPr>
        <w:tab/>
      </w:r>
      <w:r w:rsidRPr="00811D2F">
        <w:rPr>
          <w:rFonts w:cs="Times New Roman"/>
          <w:bCs/>
          <w:szCs w:val="24"/>
        </w:rPr>
        <w:t>wysokość, sposób i terminy uiszczania opłaty za udostępnianie danych jednostkowych z</w:t>
      </w:r>
      <w:r w:rsidR="00766E7F">
        <w:rPr>
          <w:rFonts w:cs="Times New Roman"/>
          <w:bCs/>
          <w:szCs w:val="24"/>
        </w:rPr>
        <w:t> </w:t>
      </w:r>
      <w:r w:rsidRPr="00811D2F">
        <w:rPr>
          <w:rFonts w:cs="Times New Roman"/>
          <w:bCs/>
          <w:szCs w:val="24"/>
        </w:rPr>
        <w:t>rejestru mieszkańców oraz rejestru PESEL, za udostępnianie danych za pomocą urządzeń teletransmisji danych, w drodze weryfikacji, o której mowa w art. 49 ust. 1, a także za udostępnianie serii, numeru i daty ważności ważnego dowodu osobistego, o którym mowa w</w:t>
      </w:r>
      <w:r w:rsidR="00DB4ED8">
        <w:rPr>
          <w:rFonts w:cs="Times New Roman"/>
          <w:bCs/>
          <w:szCs w:val="24"/>
        </w:rPr>
        <w:t> </w:t>
      </w:r>
      <w:r w:rsidRPr="00811D2F">
        <w:rPr>
          <w:rFonts w:cs="Times New Roman"/>
          <w:bCs/>
          <w:szCs w:val="24"/>
        </w:rPr>
        <w:t>art. 49a ust. 1, oraz sposób dokumentowania uiszczenia opłaty,</w:t>
      </w:r>
    </w:p>
    <w:p w14:paraId="71969A5D" w14:textId="75179CD3" w:rsidR="002A0A54" w:rsidRDefault="00811D2F" w:rsidP="00F30639">
      <w:pPr>
        <w:pStyle w:val="ARTartustawynprozporzdzenia"/>
        <w:spacing w:before="0"/>
        <w:ind w:left="335" w:hanging="335"/>
        <w:rPr>
          <w:rFonts w:cs="Times New Roman"/>
          <w:bCs/>
          <w:szCs w:val="24"/>
        </w:rPr>
      </w:pPr>
      <w:r w:rsidRPr="00811D2F">
        <w:rPr>
          <w:rFonts w:cs="Times New Roman"/>
          <w:bCs/>
          <w:szCs w:val="24"/>
        </w:rPr>
        <w:t>2)</w:t>
      </w:r>
      <w:r w:rsidR="00E907CB">
        <w:rPr>
          <w:rFonts w:cs="Times New Roman"/>
          <w:bCs/>
          <w:szCs w:val="24"/>
        </w:rPr>
        <w:tab/>
      </w:r>
      <w:r w:rsidRPr="00811D2F">
        <w:rPr>
          <w:rFonts w:cs="Times New Roman"/>
          <w:bCs/>
          <w:szCs w:val="24"/>
        </w:rPr>
        <w:t>sposób obliczania wysokości oraz sposób i terminy uiszczania opłaty za udostępnianie danych podmiotom, o których mowa w art. 46 ust. 2 pkt 2, a także sposób dokumentowania uiszczenia opłaty</w:t>
      </w:r>
    </w:p>
    <w:p w14:paraId="3813721F" w14:textId="6D6AD901" w:rsidR="00BC3B6F" w:rsidRPr="002743F2" w:rsidRDefault="00E907CB" w:rsidP="00F30639">
      <w:pPr>
        <w:pStyle w:val="ARTartustawynprozporzdzenia"/>
        <w:spacing w:before="0"/>
        <w:ind w:firstLine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lastRenderedPageBreak/>
        <w:t>–</w:t>
      </w:r>
      <w:r w:rsidR="00811D2F" w:rsidRPr="00811D2F">
        <w:rPr>
          <w:rFonts w:cs="Times New Roman"/>
          <w:bCs/>
          <w:szCs w:val="24"/>
        </w:rPr>
        <w:t xml:space="preserve"> mając na uwadze sposób udostępniania danych, a także uwzględniając, że wysokość opłaty powinna być zróżnicowana w zależności od sposobu i zakresu udostępniania danych, a sposób i terminy uiszczania opłat nie powinny stwarzać nadmiernych obciążeń dla podmiotów występujących o udostępnianie danych.</w:t>
      </w:r>
    </w:p>
    <w:p w14:paraId="7C02B9DB" w14:textId="61C55F7B" w:rsidR="00BC3B6F" w:rsidRPr="002743F2" w:rsidRDefault="00033479" w:rsidP="00F24014">
      <w:pPr>
        <w:pStyle w:val="ARTartustawynprozporzdzenia"/>
        <w:ind w:firstLine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Natomiast p</w:t>
      </w:r>
      <w:r w:rsidR="00BC3B6F" w:rsidRPr="002743F2">
        <w:rPr>
          <w:rFonts w:cs="Times New Roman"/>
          <w:bCs/>
          <w:szCs w:val="24"/>
        </w:rPr>
        <w:t>rojektowana w niniejszej ustawie zmiana polega wyłącznie na rozszerzeniu katalogu podmiotów uprawnionych do uzyskiwania danych, o których mowa w art. 49a, poprzez objęcie tym uprawnieniem krajowych i zagranicznych zakładów ubezpieczeń prowadzących działalność na terytorium Rzeczypospolitej Polskiej. Nie wpływa ona natomiast na sam mechanizm udostępniania danych ani na sposób ustalania opłat określonych w</w:t>
      </w:r>
      <w:r w:rsidR="00DB4ED8">
        <w:rPr>
          <w:rFonts w:cs="Times New Roman"/>
          <w:bCs/>
          <w:szCs w:val="24"/>
        </w:rPr>
        <w:t> </w:t>
      </w:r>
      <w:r w:rsidR="00BC3B6F" w:rsidRPr="002743F2">
        <w:rPr>
          <w:rFonts w:cs="Times New Roman"/>
          <w:bCs/>
          <w:szCs w:val="24"/>
        </w:rPr>
        <w:t>przepisach wykonawczych</w:t>
      </w:r>
      <w:r w:rsidR="00A5703A">
        <w:rPr>
          <w:rFonts w:cs="Times New Roman"/>
          <w:bCs/>
          <w:szCs w:val="24"/>
        </w:rPr>
        <w:t xml:space="preserve"> wydanych </w:t>
      </w:r>
      <w:r>
        <w:rPr>
          <w:rFonts w:cs="Times New Roman"/>
          <w:bCs/>
          <w:szCs w:val="24"/>
        </w:rPr>
        <w:t xml:space="preserve">na podstawie art. 56 ustawy </w:t>
      </w:r>
      <w:r w:rsidR="00DB4ED8" w:rsidRPr="002743F2">
        <w:rPr>
          <w:rFonts w:cs="Times New Roman"/>
          <w:bCs/>
          <w:szCs w:val="24"/>
        </w:rPr>
        <w:t>z dnia 24</w:t>
      </w:r>
      <w:r w:rsidR="00766E7F">
        <w:rPr>
          <w:rFonts w:cs="Times New Roman"/>
          <w:bCs/>
          <w:szCs w:val="24"/>
        </w:rPr>
        <w:t> </w:t>
      </w:r>
      <w:r w:rsidR="00DB4ED8" w:rsidRPr="002743F2">
        <w:rPr>
          <w:rFonts w:cs="Times New Roman"/>
          <w:bCs/>
          <w:szCs w:val="24"/>
        </w:rPr>
        <w:t>września 2010</w:t>
      </w:r>
      <w:r w:rsidR="008E3AB8">
        <w:rPr>
          <w:rFonts w:cs="Times New Roman"/>
          <w:bCs/>
          <w:szCs w:val="24"/>
        </w:rPr>
        <w:t> </w:t>
      </w:r>
      <w:r w:rsidR="00DB4ED8" w:rsidRPr="002743F2">
        <w:rPr>
          <w:rFonts w:cs="Times New Roman"/>
          <w:bCs/>
          <w:szCs w:val="24"/>
        </w:rPr>
        <w:t xml:space="preserve">r. </w:t>
      </w:r>
      <w:r>
        <w:rPr>
          <w:rFonts w:cs="Times New Roman"/>
          <w:bCs/>
          <w:szCs w:val="24"/>
        </w:rPr>
        <w:t>o ewidencji ludności</w:t>
      </w:r>
      <w:r w:rsidR="00BC3B6F" w:rsidRPr="002743F2">
        <w:rPr>
          <w:rFonts w:cs="Times New Roman"/>
          <w:bCs/>
          <w:szCs w:val="24"/>
        </w:rPr>
        <w:t>.</w:t>
      </w:r>
    </w:p>
    <w:p w14:paraId="0FA104F7" w14:textId="26DCB688" w:rsidR="00BC3B6F" w:rsidRPr="002743F2" w:rsidRDefault="00BC3B6F" w:rsidP="00F24014">
      <w:pPr>
        <w:pStyle w:val="ARTartustawynprozporzdzenia"/>
        <w:ind w:firstLine="0"/>
        <w:rPr>
          <w:rFonts w:cs="Times New Roman"/>
          <w:bCs/>
          <w:szCs w:val="24"/>
        </w:rPr>
      </w:pPr>
      <w:r w:rsidRPr="002743F2">
        <w:rPr>
          <w:rFonts w:cs="Times New Roman"/>
          <w:bCs/>
          <w:szCs w:val="24"/>
        </w:rPr>
        <w:t>Przepisy rozporządzenia pozosta</w:t>
      </w:r>
      <w:r w:rsidR="00A5703A">
        <w:rPr>
          <w:rFonts w:cs="Times New Roman"/>
          <w:bCs/>
          <w:szCs w:val="24"/>
        </w:rPr>
        <w:t>ją</w:t>
      </w:r>
      <w:r w:rsidRPr="002743F2">
        <w:rPr>
          <w:rFonts w:cs="Times New Roman"/>
          <w:bCs/>
          <w:szCs w:val="24"/>
        </w:rPr>
        <w:t xml:space="preserve"> adekwatne również względem nowych podmiotów objętych zakresem projektowanej regulacji, tj. zakładów ubezpieczeń, które będą uprawnione do pozyskiwania z rejestru PESEL danych w zakresie serii, numeru oraz daty ważności dowodu osobistego po wymianie dokumentu na nowy.</w:t>
      </w:r>
    </w:p>
    <w:p w14:paraId="54781274" w14:textId="69D22229" w:rsidR="00BC3B6F" w:rsidRDefault="00BC3B6F" w:rsidP="00F24014">
      <w:pPr>
        <w:pStyle w:val="ARTartustawynprozporzdzenia"/>
        <w:ind w:firstLine="0"/>
        <w:rPr>
          <w:rFonts w:cs="Times New Roman"/>
          <w:bCs/>
          <w:szCs w:val="24"/>
        </w:rPr>
      </w:pPr>
      <w:r w:rsidRPr="002743F2">
        <w:rPr>
          <w:rFonts w:cs="Times New Roman"/>
          <w:bCs/>
          <w:szCs w:val="24"/>
        </w:rPr>
        <w:t xml:space="preserve">Tym samym zasadne jest zachowanie w mocy dotychczasowych przepisów wykonawczych wydanych na podstawie art. 56 ustawy </w:t>
      </w:r>
      <w:r w:rsidR="00DB4ED8" w:rsidRPr="002743F2">
        <w:rPr>
          <w:rFonts w:cs="Times New Roman"/>
          <w:bCs/>
          <w:szCs w:val="24"/>
        </w:rPr>
        <w:t xml:space="preserve">z dnia 24 września 2010 r. </w:t>
      </w:r>
      <w:r w:rsidRPr="002743F2">
        <w:rPr>
          <w:rFonts w:cs="Times New Roman"/>
          <w:bCs/>
          <w:szCs w:val="24"/>
        </w:rPr>
        <w:t>o ewidencji ludności</w:t>
      </w:r>
      <w:r w:rsidR="00A5703A">
        <w:rPr>
          <w:rFonts w:cs="Times New Roman"/>
          <w:bCs/>
          <w:szCs w:val="24"/>
        </w:rPr>
        <w:t>.</w:t>
      </w:r>
    </w:p>
    <w:p w14:paraId="1B2E579D" w14:textId="778A45A8" w:rsidR="00A351BD" w:rsidRPr="003016D9" w:rsidRDefault="00A351BD" w:rsidP="00F24014">
      <w:pPr>
        <w:spacing w:before="120"/>
        <w:jc w:val="both"/>
      </w:pPr>
      <w:r w:rsidRPr="007E7449">
        <w:rPr>
          <w:rFonts w:cs="Times New Roman"/>
          <w:szCs w:val="24"/>
        </w:rPr>
        <w:t xml:space="preserve">Przewiduje się, że projektowane przepisy wejdą w życie </w:t>
      </w:r>
      <w:r w:rsidR="00974F84">
        <w:rPr>
          <w:rFonts w:cs="Times New Roman"/>
          <w:szCs w:val="24"/>
        </w:rPr>
        <w:t xml:space="preserve">po upływie 14 dni od dnia ogłoszenia. </w:t>
      </w:r>
      <w:r w:rsidR="009E255B">
        <w:rPr>
          <w:rFonts w:cs="Times New Roman"/>
          <w:szCs w:val="24"/>
        </w:rPr>
        <w:t>Ro</w:t>
      </w:r>
      <w:r w:rsidR="009E255B" w:rsidRPr="009E255B">
        <w:rPr>
          <w:rFonts w:cs="Times New Roman"/>
          <w:szCs w:val="24"/>
        </w:rPr>
        <w:t>związanie techniczne umożliwiające korzystanie z usługi przez podmioty uprawnione jest realizowane przez ministra właściwego do spraw informatyzacji</w:t>
      </w:r>
      <w:r w:rsidR="00974F84">
        <w:rPr>
          <w:rFonts w:cs="Times New Roman"/>
          <w:szCs w:val="24"/>
        </w:rPr>
        <w:t>,</w:t>
      </w:r>
      <w:r w:rsidR="009E255B" w:rsidRPr="009E255B">
        <w:rPr>
          <w:rFonts w:cs="Times New Roman"/>
          <w:szCs w:val="24"/>
        </w:rPr>
        <w:t xml:space="preserve"> natomiast z</w:t>
      </w:r>
      <w:r w:rsidR="00DB4ED8">
        <w:rPr>
          <w:rFonts w:cs="Times New Roman"/>
          <w:szCs w:val="24"/>
        </w:rPr>
        <w:t> </w:t>
      </w:r>
      <w:r w:rsidR="009E255B" w:rsidRPr="009E255B">
        <w:rPr>
          <w:rFonts w:cs="Times New Roman"/>
          <w:szCs w:val="24"/>
        </w:rPr>
        <w:t xml:space="preserve">art. 49a ustawy </w:t>
      </w:r>
      <w:r w:rsidR="00974F84" w:rsidRPr="00974F84">
        <w:rPr>
          <w:rFonts w:cs="Times New Roman"/>
          <w:szCs w:val="24"/>
        </w:rPr>
        <w:t xml:space="preserve">z dnia 24 września 2010 r. </w:t>
      </w:r>
      <w:r w:rsidR="009E255B" w:rsidRPr="009E255B">
        <w:rPr>
          <w:rFonts w:cs="Times New Roman"/>
          <w:szCs w:val="24"/>
        </w:rPr>
        <w:t>o ewidencji ludności wynika uprawnienie</w:t>
      </w:r>
      <w:r w:rsidR="00554E26">
        <w:rPr>
          <w:rFonts w:cs="Times New Roman"/>
          <w:szCs w:val="24"/>
        </w:rPr>
        <w:t>,</w:t>
      </w:r>
      <w:r w:rsidR="009E255B" w:rsidRPr="009E255B">
        <w:rPr>
          <w:rFonts w:cs="Times New Roman"/>
          <w:szCs w:val="24"/>
        </w:rPr>
        <w:t xml:space="preserve"> a nie obowiązek do </w:t>
      </w:r>
      <w:r w:rsidR="009E255B" w:rsidRPr="00A5703A">
        <w:rPr>
          <w:rFonts w:cs="Times New Roman"/>
          <w:szCs w:val="24"/>
        </w:rPr>
        <w:t>pozyskiwania przez konkretne podmioty dostępu do danych dotyczących dowodów osobistych. Uruchomienie powyższej funkcjonalności nastąpi</w:t>
      </w:r>
      <w:r w:rsidR="00A5703A" w:rsidRPr="00A5703A">
        <w:rPr>
          <w:rFonts w:cs="Times New Roman"/>
          <w:szCs w:val="24"/>
        </w:rPr>
        <w:t>ło</w:t>
      </w:r>
      <w:r w:rsidR="009E255B" w:rsidRPr="00A5703A">
        <w:rPr>
          <w:rFonts w:cs="Times New Roman"/>
          <w:szCs w:val="24"/>
        </w:rPr>
        <w:t xml:space="preserve"> z dniem 30 czerwca 2026 r.</w:t>
      </w:r>
      <w:r w:rsidR="00554E26" w:rsidRPr="00A5703A">
        <w:rPr>
          <w:rFonts w:cs="Times New Roman"/>
          <w:szCs w:val="24"/>
        </w:rPr>
        <w:t>,</w:t>
      </w:r>
      <w:r w:rsidR="009E255B" w:rsidRPr="00A5703A">
        <w:rPr>
          <w:rFonts w:cs="Times New Roman"/>
          <w:szCs w:val="24"/>
        </w:rPr>
        <w:t xml:space="preserve"> więc zainteresowane zakłady ubezpieczeń po przyjęciu niniejszej nowelizacji będą mogły prowadzić prace integracyjne i zwracać się do Ministra Cyfryzacji o podłączenie do nowej usługi. </w:t>
      </w:r>
      <w:r w:rsidR="00920D47" w:rsidRPr="00A5703A">
        <w:rPr>
          <w:rFonts w:cs="Times New Roman"/>
          <w:szCs w:val="24"/>
        </w:rPr>
        <w:t xml:space="preserve">Natomiast projektowane przepisy, z uwagi na to, że dotyczą zmiany art. 49a ustawy </w:t>
      </w:r>
      <w:r w:rsidR="00974F84" w:rsidRPr="00A5703A">
        <w:rPr>
          <w:rFonts w:cs="Times New Roman"/>
          <w:szCs w:val="24"/>
        </w:rPr>
        <w:t xml:space="preserve">z dnia 24 września 2010 r. </w:t>
      </w:r>
      <w:r w:rsidR="00920D47" w:rsidRPr="00A5703A">
        <w:rPr>
          <w:rFonts w:cs="Times New Roman"/>
          <w:szCs w:val="24"/>
        </w:rPr>
        <w:t>o ewidencji ludności, któr</w:t>
      </w:r>
      <w:r w:rsidR="00A5703A" w:rsidRPr="00A5703A">
        <w:rPr>
          <w:rFonts w:cs="Times New Roman"/>
          <w:szCs w:val="24"/>
        </w:rPr>
        <w:t>a weszła</w:t>
      </w:r>
      <w:r w:rsidR="00920D47" w:rsidRPr="00A5703A">
        <w:rPr>
          <w:rFonts w:cs="Times New Roman"/>
          <w:szCs w:val="24"/>
        </w:rPr>
        <w:t xml:space="preserve"> w życie 30 czerwca 2026</w:t>
      </w:r>
      <w:r w:rsidR="00DB4ED8" w:rsidRPr="00A5703A">
        <w:rPr>
          <w:rFonts w:cs="Times New Roman"/>
          <w:szCs w:val="24"/>
        </w:rPr>
        <w:t> </w:t>
      </w:r>
      <w:r w:rsidR="00920D47" w:rsidRPr="00A5703A">
        <w:rPr>
          <w:rFonts w:cs="Times New Roman"/>
          <w:szCs w:val="24"/>
        </w:rPr>
        <w:t>r.</w:t>
      </w:r>
      <w:r w:rsidR="00554E26" w:rsidRPr="00A5703A">
        <w:rPr>
          <w:rFonts w:cs="Times New Roman"/>
          <w:szCs w:val="24"/>
        </w:rPr>
        <w:t>,</w:t>
      </w:r>
      <w:r w:rsidR="00920D47" w:rsidRPr="00A5703A">
        <w:rPr>
          <w:rFonts w:cs="Times New Roman"/>
          <w:szCs w:val="24"/>
        </w:rPr>
        <w:t xml:space="preserve"> wejdą w</w:t>
      </w:r>
      <w:r w:rsidR="008E3AB8">
        <w:rPr>
          <w:rFonts w:cs="Times New Roman"/>
          <w:szCs w:val="24"/>
        </w:rPr>
        <w:t> </w:t>
      </w:r>
      <w:r w:rsidR="00920D47" w:rsidRPr="00A5703A">
        <w:rPr>
          <w:rFonts w:cs="Times New Roman"/>
          <w:szCs w:val="24"/>
        </w:rPr>
        <w:t xml:space="preserve">życie po tej dacie i powinny wejść w życie </w:t>
      </w:r>
      <w:r w:rsidR="00974F84" w:rsidRPr="00A5703A">
        <w:rPr>
          <w:rFonts w:cs="Times New Roman"/>
          <w:szCs w:val="24"/>
        </w:rPr>
        <w:t>jak najszybciej</w:t>
      </w:r>
      <w:r w:rsidR="00920D47" w:rsidRPr="00A5703A">
        <w:rPr>
          <w:rFonts w:cs="Times New Roman"/>
          <w:szCs w:val="24"/>
        </w:rPr>
        <w:t xml:space="preserve"> w celu umożliwienia skorzystania z usługi przez </w:t>
      </w:r>
      <w:r w:rsidR="004F3BB6" w:rsidRPr="00A5703A">
        <w:rPr>
          <w:rFonts w:cs="Times New Roman"/>
          <w:szCs w:val="24"/>
        </w:rPr>
        <w:t>nowe</w:t>
      </w:r>
      <w:r w:rsidR="00473BCF" w:rsidRPr="00A5703A">
        <w:rPr>
          <w:rFonts w:cs="Times New Roman"/>
          <w:szCs w:val="24"/>
        </w:rPr>
        <w:t xml:space="preserve"> podmioty uprawnione,</w:t>
      </w:r>
      <w:r w:rsidR="00554E26" w:rsidRPr="00A5703A">
        <w:rPr>
          <w:rFonts w:cs="Times New Roman"/>
          <w:szCs w:val="24"/>
        </w:rPr>
        <w:t xml:space="preserve"> </w:t>
      </w:r>
      <w:r w:rsidR="004F3BB6" w:rsidRPr="00A5703A">
        <w:rPr>
          <w:rFonts w:cs="Times New Roman"/>
          <w:szCs w:val="24"/>
        </w:rPr>
        <w:t xml:space="preserve">wskazane w niniejszej </w:t>
      </w:r>
      <w:r w:rsidR="00974F84" w:rsidRPr="00A5703A">
        <w:rPr>
          <w:rFonts w:cs="Times New Roman"/>
          <w:szCs w:val="24"/>
        </w:rPr>
        <w:t>ustawie</w:t>
      </w:r>
      <w:r w:rsidR="00920D47" w:rsidRPr="00A5703A">
        <w:rPr>
          <w:rFonts w:cs="Times New Roman"/>
          <w:szCs w:val="24"/>
        </w:rPr>
        <w:t>.</w:t>
      </w:r>
    </w:p>
    <w:p w14:paraId="5BE3E4DF" w14:textId="77777777" w:rsidR="00A351BD" w:rsidRDefault="00A351BD" w:rsidP="00A351BD">
      <w:pPr>
        <w:spacing w:before="120"/>
        <w:jc w:val="both"/>
        <w:rPr>
          <w:rFonts w:eastAsia="MS Mincho" w:cs="Times New Roman"/>
          <w:szCs w:val="24"/>
        </w:rPr>
      </w:pPr>
      <w:r w:rsidRPr="00C44440">
        <w:rPr>
          <w:rFonts w:eastAsia="MS Mincho" w:cs="Times New Roman"/>
          <w:szCs w:val="24"/>
        </w:rPr>
        <w:t>Projekt ustawy</w:t>
      </w:r>
      <w:r>
        <w:rPr>
          <w:rFonts w:eastAsia="MS Mincho" w:cs="Times New Roman"/>
          <w:szCs w:val="24"/>
        </w:rPr>
        <w:t xml:space="preserve"> nie jest sprzeczny</w:t>
      </w:r>
      <w:r w:rsidRPr="00C44440">
        <w:rPr>
          <w:rFonts w:eastAsia="MS Mincho" w:cs="Times New Roman"/>
          <w:szCs w:val="24"/>
        </w:rPr>
        <w:t xml:space="preserve"> z prawem Unii Europejskiej</w:t>
      </w:r>
      <w:r>
        <w:rPr>
          <w:rFonts w:eastAsia="MS Mincho" w:cs="Times New Roman"/>
          <w:szCs w:val="24"/>
        </w:rPr>
        <w:t>.</w:t>
      </w:r>
    </w:p>
    <w:p w14:paraId="50D019C0" w14:textId="3713FF2A" w:rsidR="00A351BD" w:rsidRPr="0027108A" w:rsidRDefault="00A351BD" w:rsidP="00A351BD">
      <w:pPr>
        <w:spacing w:before="120"/>
        <w:jc w:val="both"/>
        <w:rPr>
          <w:rFonts w:eastAsia="MS Mincho" w:cs="Times New Roman"/>
          <w:szCs w:val="24"/>
        </w:rPr>
      </w:pPr>
      <w:r w:rsidRPr="0027108A">
        <w:rPr>
          <w:rFonts w:eastAsia="MS Mincho" w:cs="Times New Roman"/>
          <w:szCs w:val="24"/>
        </w:rPr>
        <w:t xml:space="preserve">Projekt ustawy nie zawiera przepisów technicznych, w rozumieniu rozporządzenia Rady </w:t>
      </w:r>
      <w:r w:rsidRPr="0027108A">
        <w:rPr>
          <w:rFonts w:eastAsia="MS Mincho" w:cs="Times New Roman"/>
          <w:szCs w:val="24"/>
        </w:rPr>
        <w:lastRenderedPageBreak/>
        <w:t>Ministrów z dnia 23 grudnia 2002 r. w sprawie sposobu funkcjonowania krajowego systemu notyfikacji norm i aktów prawnych (Dz. U. poz. 2039 oraz z 2004 r. poz. 597), w związku z tym nie podlega notyfikacji.</w:t>
      </w:r>
    </w:p>
    <w:p w14:paraId="5A78B350" w14:textId="1530B538" w:rsidR="00A351BD" w:rsidRPr="0027108A" w:rsidRDefault="00A351BD" w:rsidP="00A351BD">
      <w:pPr>
        <w:spacing w:before="120"/>
        <w:jc w:val="both"/>
        <w:rPr>
          <w:rFonts w:eastAsia="MS Mincho" w:cs="Times New Roman"/>
          <w:szCs w:val="24"/>
        </w:rPr>
      </w:pPr>
      <w:r w:rsidRPr="0027108A">
        <w:rPr>
          <w:rFonts w:eastAsia="MS Mincho" w:cs="Times New Roman"/>
          <w:szCs w:val="24"/>
        </w:rPr>
        <w:t>Projekt ustawy nie zawiera wymogów nakładanych na usługodawców podlegających notyfikacji, o której mowa w art. 15 ust. 7 lub art. 39 ust. 5 dyrektywy 2006/123/WE Parlamentu Europejskiego i Rady z dnia 12 grudnia 2006 r. dotyczącej usług na rynku wewnętrzny</w:t>
      </w:r>
      <w:r w:rsidR="00AE4568">
        <w:rPr>
          <w:rFonts w:eastAsia="MS Mincho" w:cs="Times New Roman"/>
          <w:szCs w:val="24"/>
        </w:rPr>
        <w:t>m</w:t>
      </w:r>
      <w:r w:rsidRPr="0027108A">
        <w:rPr>
          <w:rFonts w:eastAsia="MS Mincho" w:cs="Times New Roman"/>
          <w:szCs w:val="24"/>
        </w:rPr>
        <w:t xml:space="preserve"> (Dz. Urz. UE L 376 z 27.12.2006, str. 36).</w:t>
      </w:r>
    </w:p>
    <w:p w14:paraId="6383F8B9" w14:textId="5DD19D9B" w:rsidR="00A351BD" w:rsidRPr="0027108A" w:rsidRDefault="00A351BD" w:rsidP="00A351BD">
      <w:pPr>
        <w:spacing w:before="120"/>
        <w:jc w:val="both"/>
        <w:rPr>
          <w:rFonts w:eastAsia="MS Mincho" w:cs="Times New Roman"/>
          <w:szCs w:val="24"/>
        </w:rPr>
      </w:pPr>
      <w:r w:rsidRPr="0027108A">
        <w:rPr>
          <w:rFonts w:eastAsia="MS Mincho" w:cs="Times New Roman"/>
          <w:szCs w:val="24"/>
        </w:rPr>
        <w:t>Projekt ustawy nie wymaga uzyskania opinii, dokonania powiadomienia, konsultacji albo uzgodnienia z właściwymi organami i instytucjami Unii Europejskiej, w tym z Europejskim Bankiem Centralnym, o czym mowa w § 39 uchwały nr 190 Rady Ministrów z dnia 29</w:t>
      </w:r>
      <w:r w:rsidR="00071C0B">
        <w:rPr>
          <w:rFonts w:eastAsia="MS Mincho" w:cs="Times New Roman"/>
          <w:szCs w:val="24"/>
        </w:rPr>
        <w:t> </w:t>
      </w:r>
      <w:r w:rsidRPr="0027108A">
        <w:rPr>
          <w:rFonts w:eastAsia="MS Mincho" w:cs="Times New Roman"/>
          <w:szCs w:val="24"/>
        </w:rPr>
        <w:t>października 2013 r. – Regulamin pracy Rady Ministrów (M.P. z 202</w:t>
      </w:r>
      <w:r w:rsidR="00596D40">
        <w:rPr>
          <w:rFonts w:eastAsia="MS Mincho" w:cs="Times New Roman"/>
          <w:szCs w:val="24"/>
        </w:rPr>
        <w:t>6</w:t>
      </w:r>
      <w:r w:rsidRPr="0027108A">
        <w:rPr>
          <w:rFonts w:eastAsia="MS Mincho" w:cs="Times New Roman"/>
          <w:szCs w:val="24"/>
        </w:rPr>
        <w:t xml:space="preserve"> r. poz. </w:t>
      </w:r>
      <w:r w:rsidR="00596D40">
        <w:rPr>
          <w:rFonts w:eastAsia="MS Mincho" w:cs="Times New Roman"/>
          <w:szCs w:val="24"/>
        </w:rPr>
        <w:t>404</w:t>
      </w:r>
      <w:r w:rsidRPr="0027108A">
        <w:rPr>
          <w:rFonts w:eastAsia="MS Mincho" w:cs="Times New Roman"/>
          <w:szCs w:val="24"/>
        </w:rPr>
        <w:t>).</w:t>
      </w:r>
    </w:p>
    <w:p w14:paraId="0D9E53A1" w14:textId="18BABBEB" w:rsidR="00A351BD" w:rsidRDefault="00AE4568" w:rsidP="000E2E3F">
      <w:pPr>
        <w:spacing w:before="120"/>
        <w:jc w:val="both"/>
      </w:pPr>
      <w:r w:rsidRPr="00AE4568">
        <w:t>Stosownie do postanowień art. 5 ustawy z dnia 7 lipca 2005 r. o działalności lobbingowej w procesie stanowienia prawa (Dz. U. z 202</w:t>
      </w:r>
      <w:r w:rsidR="00EF78A9">
        <w:t>6</w:t>
      </w:r>
      <w:r w:rsidRPr="00AE4568">
        <w:t xml:space="preserve"> r. poz. </w:t>
      </w:r>
      <w:r w:rsidR="00EF78A9">
        <w:t>936</w:t>
      </w:r>
      <w:r w:rsidRPr="00AE4568">
        <w:t xml:space="preserve">) projekt </w:t>
      </w:r>
      <w:r w:rsidRPr="00FD51AF">
        <w:t>zosta</w:t>
      </w:r>
      <w:r w:rsidR="00FD51AF">
        <w:t>ł</w:t>
      </w:r>
      <w:r w:rsidRPr="00AE4568">
        <w:t xml:space="preserve"> udostępniony w</w:t>
      </w:r>
      <w:r w:rsidR="00071C0B">
        <w:t> </w:t>
      </w:r>
      <w:r w:rsidRPr="00AE4568">
        <w:t>Biuletynie Informacji Publicznej na stronie podmiotowej Ministra Cyfryzacji. Ponadto</w:t>
      </w:r>
      <w:r w:rsidR="00DB4ED8">
        <w:t>,</w:t>
      </w:r>
      <w:r w:rsidRPr="00AE4568">
        <w:t xml:space="preserve"> zgodnie z § 52 ust. 1 uchwały </w:t>
      </w:r>
      <w:r w:rsidR="00506E0F">
        <w:t>n</w:t>
      </w:r>
      <w:r w:rsidRPr="00AE4568">
        <w:t xml:space="preserve">r 190 Rady Ministrów z dnia 29 października 2013 r. – Regulamin pracy Rady Ministrów, </w:t>
      </w:r>
      <w:r>
        <w:t xml:space="preserve">projekt </w:t>
      </w:r>
      <w:r w:rsidRPr="00AE4568">
        <w:t>zosta</w:t>
      </w:r>
      <w:r w:rsidR="00473BCF">
        <w:t>ł</w:t>
      </w:r>
      <w:r w:rsidRPr="00AE4568">
        <w:t xml:space="preserve"> udostępniony w Biuletynie Informacji Publicznej na stronie podmiotowej Rządowego Centrum Legislacji</w:t>
      </w:r>
      <w:r w:rsidR="00506E0F">
        <w:t>,</w:t>
      </w:r>
      <w:r w:rsidRPr="00AE4568">
        <w:t xml:space="preserve"> w zakładce </w:t>
      </w:r>
      <w:r w:rsidR="00506E0F">
        <w:t>„</w:t>
      </w:r>
      <w:r w:rsidRPr="00AE4568">
        <w:t>Rządowy Proces Legislacyjny</w:t>
      </w:r>
      <w:r w:rsidR="00506E0F">
        <w:t>”</w:t>
      </w:r>
      <w:r w:rsidRPr="00AE4568">
        <w:t>.</w:t>
      </w:r>
    </w:p>
    <w:sectPr w:rsidR="00A351BD" w:rsidSect="001A7F15"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7A38" w14:textId="77777777" w:rsidR="00BA1C72" w:rsidRDefault="00BA1C72">
      <w:r>
        <w:separator/>
      </w:r>
    </w:p>
  </w:endnote>
  <w:endnote w:type="continuationSeparator" w:id="0">
    <w:p w14:paraId="2A311909" w14:textId="77777777" w:rsidR="00BA1C72" w:rsidRDefault="00BA1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72306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1C876C9" w14:textId="4E6B0D96" w:rsidR="00AE72E2" w:rsidRPr="00AE72E2" w:rsidRDefault="00AE72E2">
        <w:pPr>
          <w:pStyle w:val="Stopka"/>
          <w:jc w:val="center"/>
          <w:rPr>
            <w:rFonts w:ascii="Times New Roman" w:hAnsi="Times New Roman"/>
          </w:rPr>
        </w:pPr>
        <w:r w:rsidRPr="00AE72E2">
          <w:rPr>
            <w:rFonts w:ascii="Times New Roman" w:hAnsi="Times New Roman"/>
          </w:rPr>
          <w:fldChar w:fldCharType="begin"/>
        </w:r>
        <w:r w:rsidRPr="00AE72E2">
          <w:rPr>
            <w:rFonts w:ascii="Times New Roman" w:hAnsi="Times New Roman"/>
          </w:rPr>
          <w:instrText>PAGE   \* MERGEFORMAT</w:instrText>
        </w:r>
        <w:r w:rsidRPr="00AE72E2">
          <w:rPr>
            <w:rFonts w:ascii="Times New Roman" w:hAnsi="Times New Roman"/>
          </w:rPr>
          <w:fldChar w:fldCharType="separate"/>
        </w:r>
        <w:r w:rsidRPr="00AE72E2">
          <w:rPr>
            <w:rFonts w:ascii="Times New Roman" w:hAnsi="Times New Roman"/>
          </w:rPr>
          <w:t>2</w:t>
        </w:r>
        <w:r w:rsidRPr="00AE72E2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B1CDC" w14:textId="77777777" w:rsidR="00BA1C72" w:rsidRDefault="00BA1C72">
      <w:r>
        <w:separator/>
      </w:r>
    </w:p>
  </w:footnote>
  <w:footnote w:type="continuationSeparator" w:id="0">
    <w:p w14:paraId="51D6764E" w14:textId="77777777" w:rsidR="00BA1C72" w:rsidRDefault="00BA1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ADA4C64"/>
    <w:multiLevelType w:val="hybridMultilevel"/>
    <w:tmpl w:val="42AAD7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3B196EA5"/>
    <w:multiLevelType w:val="hybridMultilevel"/>
    <w:tmpl w:val="FAD2C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3E94CB2"/>
    <w:multiLevelType w:val="hybridMultilevel"/>
    <w:tmpl w:val="1C427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79004E"/>
    <w:multiLevelType w:val="multilevel"/>
    <w:tmpl w:val="E80CAF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926252">
    <w:abstractNumId w:val="24"/>
  </w:num>
  <w:num w:numId="2" w16cid:durableId="162090816">
    <w:abstractNumId w:val="24"/>
  </w:num>
  <w:num w:numId="3" w16cid:durableId="1088113275">
    <w:abstractNumId w:val="19"/>
  </w:num>
  <w:num w:numId="4" w16cid:durableId="18436128">
    <w:abstractNumId w:val="19"/>
  </w:num>
  <w:num w:numId="5" w16cid:durableId="960648988">
    <w:abstractNumId w:val="40"/>
  </w:num>
  <w:num w:numId="6" w16cid:durableId="2108890788">
    <w:abstractNumId w:val="35"/>
  </w:num>
  <w:num w:numId="7" w16cid:durableId="628510640">
    <w:abstractNumId w:val="40"/>
  </w:num>
  <w:num w:numId="8" w16cid:durableId="1362125771">
    <w:abstractNumId w:val="35"/>
  </w:num>
  <w:num w:numId="9" w16cid:durableId="1167087629">
    <w:abstractNumId w:val="40"/>
  </w:num>
  <w:num w:numId="10" w16cid:durableId="1965117109">
    <w:abstractNumId w:val="35"/>
  </w:num>
  <w:num w:numId="11" w16cid:durableId="1317950033">
    <w:abstractNumId w:val="14"/>
  </w:num>
  <w:num w:numId="12" w16cid:durableId="1661303897">
    <w:abstractNumId w:val="10"/>
  </w:num>
  <w:num w:numId="13" w16cid:durableId="1119032151">
    <w:abstractNumId w:val="16"/>
  </w:num>
  <w:num w:numId="14" w16cid:durableId="624390259">
    <w:abstractNumId w:val="29"/>
  </w:num>
  <w:num w:numId="15" w16cid:durableId="1380978418">
    <w:abstractNumId w:val="14"/>
  </w:num>
  <w:num w:numId="16" w16cid:durableId="296109259">
    <w:abstractNumId w:val="17"/>
  </w:num>
  <w:num w:numId="17" w16cid:durableId="1091855570">
    <w:abstractNumId w:val="8"/>
  </w:num>
  <w:num w:numId="18" w16cid:durableId="1626689963">
    <w:abstractNumId w:val="3"/>
  </w:num>
  <w:num w:numId="19" w16cid:durableId="791093716">
    <w:abstractNumId w:val="2"/>
  </w:num>
  <w:num w:numId="20" w16cid:durableId="883832000">
    <w:abstractNumId w:val="1"/>
  </w:num>
  <w:num w:numId="21" w16cid:durableId="113445274">
    <w:abstractNumId w:val="0"/>
  </w:num>
  <w:num w:numId="22" w16cid:durableId="497421853">
    <w:abstractNumId w:val="9"/>
  </w:num>
  <w:num w:numId="23" w16cid:durableId="283775554">
    <w:abstractNumId w:val="7"/>
  </w:num>
  <w:num w:numId="24" w16cid:durableId="742490061">
    <w:abstractNumId w:val="6"/>
  </w:num>
  <w:num w:numId="25" w16cid:durableId="448623168">
    <w:abstractNumId w:val="5"/>
  </w:num>
  <w:num w:numId="26" w16cid:durableId="309988758">
    <w:abstractNumId w:val="4"/>
  </w:num>
  <w:num w:numId="27" w16cid:durableId="2022928975">
    <w:abstractNumId w:val="37"/>
  </w:num>
  <w:num w:numId="28" w16cid:durableId="211114559">
    <w:abstractNumId w:val="28"/>
  </w:num>
  <w:num w:numId="29" w16cid:durableId="366376969">
    <w:abstractNumId w:val="41"/>
  </w:num>
  <w:num w:numId="30" w16cid:durableId="977102554">
    <w:abstractNumId w:val="36"/>
  </w:num>
  <w:num w:numId="31" w16cid:durableId="865022299">
    <w:abstractNumId w:val="20"/>
  </w:num>
  <w:num w:numId="32" w16cid:durableId="1516916547">
    <w:abstractNumId w:val="11"/>
  </w:num>
  <w:num w:numId="33" w16cid:durableId="1442142650">
    <w:abstractNumId w:val="34"/>
  </w:num>
  <w:num w:numId="34" w16cid:durableId="1274560142">
    <w:abstractNumId w:val="21"/>
  </w:num>
  <w:num w:numId="35" w16cid:durableId="1379165148">
    <w:abstractNumId w:val="18"/>
  </w:num>
  <w:num w:numId="36" w16cid:durableId="977296694">
    <w:abstractNumId w:val="23"/>
  </w:num>
  <w:num w:numId="37" w16cid:durableId="1856990850">
    <w:abstractNumId w:val="30"/>
  </w:num>
  <w:num w:numId="38" w16cid:durableId="2034718795">
    <w:abstractNumId w:val="26"/>
  </w:num>
  <w:num w:numId="39" w16cid:durableId="636840517">
    <w:abstractNumId w:val="13"/>
  </w:num>
  <w:num w:numId="40" w16cid:durableId="2060089359">
    <w:abstractNumId w:val="33"/>
  </w:num>
  <w:num w:numId="41" w16cid:durableId="1461532651">
    <w:abstractNumId w:val="31"/>
  </w:num>
  <w:num w:numId="42" w16cid:durableId="1042050666">
    <w:abstractNumId w:val="22"/>
  </w:num>
  <w:num w:numId="43" w16cid:durableId="1118992263">
    <w:abstractNumId w:val="39"/>
  </w:num>
  <w:num w:numId="44" w16cid:durableId="1731222443">
    <w:abstractNumId w:val="12"/>
  </w:num>
  <w:num w:numId="45" w16cid:durableId="539590316">
    <w:abstractNumId w:val="25"/>
  </w:num>
  <w:num w:numId="46" w16cid:durableId="1588346097">
    <w:abstractNumId w:val="27"/>
  </w:num>
  <w:num w:numId="47" w16cid:durableId="642806518">
    <w:abstractNumId w:val="15"/>
  </w:num>
  <w:num w:numId="48" w16cid:durableId="791021366">
    <w:abstractNumId w:val="32"/>
  </w:num>
  <w:num w:numId="49" w16cid:durableId="38714915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D6"/>
    <w:rsid w:val="000012DA"/>
    <w:rsid w:val="0000246E"/>
    <w:rsid w:val="00003862"/>
    <w:rsid w:val="000060A9"/>
    <w:rsid w:val="00006427"/>
    <w:rsid w:val="00012A35"/>
    <w:rsid w:val="00016099"/>
    <w:rsid w:val="00017DC2"/>
    <w:rsid w:val="00021522"/>
    <w:rsid w:val="00023471"/>
    <w:rsid w:val="00023F13"/>
    <w:rsid w:val="00030634"/>
    <w:rsid w:val="000315EC"/>
    <w:rsid w:val="000319C1"/>
    <w:rsid w:val="00031A8B"/>
    <w:rsid w:val="00031BCA"/>
    <w:rsid w:val="000330FA"/>
    <w:rsid w:val="00033479"/>
    <w:rsid w:val="0003362F"/>
    <w:rsid w:val="00035756"/>
    <w:rsid w:val="00036B63"/>
    <w:rsid w:val="00037E1A"/>
    <w:rsid w:val="00042503"/>
    <w:rsid w:val="00043495"/>
    <w:rsid w:val="00044F8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3133"/>
    <w:rsid w:val="00064E4C"/>
    <w:rsid w:val="00066901"/>
    <w:rsid w:val="00071BEE"/>
    <w:rsid w:val="00071C0B"/>
    <w:rsid w:val="000736CD"/>
    <w:rsid w:val="0007478E"/>
    <w:rsid w:val="0007533B"/>
    <w:rsid w:val="0007545D"/>
    <w:rsid w:val="000760BF"/>
    <w:rsid w:val="0007613E"/>
    <w:rsid w:val="00076BFC"/>
    <w:rsid w:val="000814A7"/>
    <w:rsid w:val="000824CC"/>
    <w:rsid w:val="00082D22"/>
    <w:rsid w:val="0008557B"/>
    <w:rsid w:val="00085CE7"/>
    <w:rsid w:val="000906EE"/>
    <w:rsid w:val="0009070D"/>
    <w:rsid w:val="00091BA2"/>
    <w:rsid w:val="000944EF"/>
    <w:rsid w:val="00096C8E"/>
    <w:rsid w:val="0009732D"/>
    <w:rsid w:val="000973F0"/>
    <w:rsid w:val="000A1296"/>
    <w:rsid w:val="000A1C27"/>
    <w:rsid w:val="000A1DAD"/>
    <w:rsid w:val="000A2649"/>
    <w:rsid w:val="000A323B"/>
    <w:rsid w:val="000A633D"/>
    <w:rsid w:val="000B298D"/>
    <w:rsid w:val="000B5B2D"/>
    <w:rsid w:val="000B5DCE"/>
    <w:rsid w:val="000B7C3C"/>
    <w:rsid w:val="000C05BA"/>
    <w:rsid w:val="000C0E8F"/>
    <w:rsid w:val="000C2E23"/>
    <w:rsid w:val="000C3E56"/>
    <w:rsid w:val="000C4BC4"/>
    <w:rsid w:val="000D0110"/>
    <w:rsid w:val="000D2468"/>
    <w:rsid w:val="000D318A"/>
    <w:rsid w:val="000D6173"/>
    <w:rsid w:val="000D6F83"/>
    <w:rsid w:val="000D7EA3"/>
    <w:rsid w:val="000E25CC"/>
    <w:rsid w:val="000E2E3F"/>
    <w:rsid w:val="000E3694"/>
    <w:rsid w:val="000E490F"/>
    <w:rsid w:val="000E6069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DAF"/>
    <w:rsid w:val="00112373"/>
    <w:rsid w:val="0011245A"/>
    <w:rsid w:val="00112C45"/>
    <w:rsid w:val="00113866"/>
    <w:rsid w:val="0011493E"/>
    <w:rsid w:val="00115B72"/>
    <w:rsid w:val="001209EC"/>
    <w:rsid w:val="00120A9E"/>
    <w:rsid w:val="001214F7"/>
    <w:rsid w:val="00121F96"/>
    <w:rsid w:val="0012256A"/>
    <w:rsid w:val="00125A9C"/>
    <w:rsid w:val="001270A2"/>
    <w:rsid w:val="00131237"/>
    <w:rsid w:val="001329AC"/>
    <w:rsid w:val="00134CA0"/>
    <w:rsid w:val="0014026F"/>
    <w:rsid w:val="001407C4"/>
    <w:rsid w:val="00147A47"/>
    <w:rsid w:val="00147AA1"/>
    <w:rsid w:val="00147C8A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3FBF"/>
    <w:rsid w:val="001740D0"/>
    <w:rsid w:val="00174F2C"/>
    <w:rsid w:val="00180F2A"/>
    <w:rsid w:val="00184B91"/>
    <w:rsid w:val="00184D4A"/>
    <w:rsid w:val="00186EC1"/>
    <w:rsid w:val="00187544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F4A"/>
    <w:rsid w:val="001A7F15"/>
    <w:rsid w:val="001B342E"/>
    <w:rsid w:val="001B7C8F"/>
    <w:rsid w:val="001C13DA"/>
    <w:rsid w:val="001C1832"/>
    <w:rsid w:val="001C188C"/>
    <w:rsid w:val="001C49EA"/>
    <w:rsid w:val="001C4E20"/>
    <w:rsid w:val="001D1783"/>
    <w:rsid w:val="001D53CD"/>
    <w:rsid w:val="001D55A3"/>
    <w:rsid w:val="001D5AF5"/>
    <w:rsid w:val="001D5DCC"/>
    <w:rsid w:val="001E0ED6"/>
    <w:rsid w:val="001E1E73"/>
    <w:rsid w:val="001E4E0C"/>
    <w:rsid w:val="001E526D"/>
    <w:rsid w:val="001E5655"/>
    <w:rsid w:val="001F1832"/>
    <w:rsid w:val="001F1A30"/>
    <w:rsid w:val="001F220F"/>
    <w:rsid w:val="001F25B3"/>
    <w:rsid w:val="001F2ACE"/>
    <w:rsid w:val="001F3D65"/>
    <w:rsid w:val="001F6616"/>
    <w:rsid w:val="00200DC7"/>
    <w:rsid w:val="00202601"/>
    <w:rsid w:val="00202BD4"/>
    <w:rsid w:val="0020361A"/>
    <w:rsid w:val="00204A97"/>
    <w:rsid w:val="002114EF"/>
    <w:rsid w:val="002166AD"/>
    <w:rsid w:val="00217871"/>
    <w:rsid w:val="00220CBA"/>
    <w:rsid w:val="00221AAA"/>
    <w:rsid w:val="00221ED8"/>
    <w:rsid w:val="002231EA"/>
    <w:rsid w:val="00223FDF"/>
    <w:rsid w:val="002279C0"/>
    <w:rsid w:val="0023727E"/>
    <w:rsid w:val="00242081"/>
    <w:rsid w:val="00243777"/>
    <w:rsid w:val="002441CD"/>
    <w:rsid w:val="00245BB7"/>
    <w:rsid w:val="002501A3"/>
    <w:rsid w:val="002505A0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969DA"/>
    <w:rsid w:val="002A0A54"/>
    <w:rsid w:val="002A20C4"/>
    <w:rsid w:val="002A570F"/>
    <w:rsid w:val="002A7129"/>
    <w:rsid w:val="002A7292"/>
    <w:rsid w:val="002A7358"/>
    <w:rsid w:val="002A7902"/>
    <w:rsid w:val="002B0F6B"/>
    <w:rsid w:val="002B23B8"/>
    <w:rsid w:val="002B4429"/>
    <w:rsid w:val="002B68A6"/>
    <w:rsid w:val="002B7FAF"/>
    <w:rsid w:val="002C43DC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244C"/>
    <w:rsid w:val="003148FD"/>
    <w:rsid w:val="00321080"/>
    <w:rsid w:val="00322D45"/>
    <w:rsid w:val="0032569A"/>
    <w:rsid w:val="00325A1F"/>
    <w:rsid w:val="00325D30"/>
    <w:rsid w:val="003268F9"/>
    <w:rsid w:val="00330BAF"/>
    <w:rsid w:val="00334456"/>
    <w:rsid w:val="00334E3A"/>
    <w:rsid w:val="003361DD"/>
    <w:rsid w:val="00341A6A"/>
    <w:rsid w:val="00342814"/>
    <w:rsid w:val="00345B9C"/>
    <w:rsid w:val="00352DAE"/>
    <w:rsid w:val="00354EB9"/>
    <w:rsid w:val="00355E1B"/>
    <w:rsid w:val="00357D84"/>
    <w:rsid w:val="00360075"/>
    <w:rsid w:val="003602AE"/>
    <w:rsid w:val="00360929"/>
    <w:rsid w:val="003647D5"/>
    <w:rsid w:val="00364CF0"/>
    <w:rsid w:val="00365DE3"/>
    <w:rsid w:val="003662AA"/>
    <w:rsid w:val="003674B0"/>
    <w:rsid w:val="0037727C"/>
    <w:rsid w:val="00377E70"/>
    <w:rsid w:val="00380904"/>
    <w:rsid w:val="00381D69"/>
    <w:rsid w:val="003823EE"/>
    <w:rsid w:val="00382960"/>
    <w:rsid w:val="003846F7"/>
    <w:rsid w:val="003851ED"/>
    <w:rsid w:val="00385B39"/>
    <w:rsid w:val="003864AF"/>
    <w:rsid w:val="00386785"/>
    <w:rsid w:val="00386AD6"/>
    <w:rsid w:val="003872E1"/>
    <w:rsid w:val="00387C88"/>
    <w:rsid w:val="00390E89"/>
    <w:rsid w:val="00391B1A"/>
    <w:rsid w:val="00394423"/>
    <w:rsid w:val="00394C8A"/>
    <w:rsid w:val="00396942"/>
    <w:rsid w:val="00396B49"/>
    <w:rsid w:val="00396E3E"/>
    <w:rsid w:val="003A2591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0C4"/>
    <w:rsid w:val="003C6C71"/>
    <w:rsid w:val="003D12C2"/>
    <w:rsid w:val="003D31B9"/>
    <w:rsid w:val="003D3867"/>
    <w:rsid w:val="003E0D1A"/>
    <w:rsid w:val="003E2A69"/>
    <w:rsid w:val="003E2DA3"/>
    <w:rsid w:val="003E79B4"/>
    <w:rsid w:val="003F020D"/>
    <w:rsid w:val="003F03D9"/>
    <w:rsid w:val="003F2FBE"/>
    <w:rsid w:val="003F318D"/>
    <w:rsid w:val="003F5BAE"/>
    <w:rsid w:val="003F6921"/>
    <w:rsid w:val="003F6ED7"/>
    <w:rsid w:val="00401C84"/>
    <w:rsid w:val="00403210"/>
    <w:rsid w:val="004035BB"/>
    <w:rsid w:val="004035EB"/>
    <w:rsid w:val="00404B4B"/>
    <w:rsid w:val="00407332"/>
    <w:rsid w:val="00407828"/>
    <w:rsid w:val="00413D8E"/>
    <w:rsid w:val="004140F2"/>
    <w:rsid w:val="00414F78"/>
    <w:rsid w:val="004153B8"/>
    <w:rsid w:val="00415BB8"/>
    <w:rsid w:val="00417B22"/>
    <w:rsid w:val="00421085"/>
    <w:rsid w:val="00422991"/>
    <w:rsid w:val="00423F03"/>
    <w:rsid w:val="0042465E"/>
    <w:rsid w:val="00424907"/>
    <w:rsid w:val="00424DF7"/>
    <w:rsid w:val="00432B76"/>
    <w:rsid w:val="00434D01"/>
    <w:rsid w:val="00435D26"/>
    <w:rsid w:val="00440C99"/>
    <w:rsid w:val="00441387"/>
    <w:rsid w:val="0044175C"/>
    <w:rsid w:val="00441A4E"/>
    <w:rsid w:val="00445B31"/>
    <w:rsid w:val="00445F4D"/>
    <w:rsid w:val="004504C0"/>
    <w:rsid w:val="004505B5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184"/>
    <w:rsid w:val="0047207C"/>
    <w:rsid w:val="00472CD6"/>
    <w:rsid w:val="00473A93"/>
    <w:rsid w:val="00473BCF"/>
    <w:rsid w:val="00474E3C"/>
    <w:rsid w:val="004768D0"/>
    <w:rsid w:val="00480A58"/>
    <w:rsid w:val="004816C7"/>
    <w:rsid w:val="00482151"/>
    <w:rsid w:val="00484ADE"/>
    <w:rsid w:val="00485FAD"/>
    <w:rsid w:val="00487AED"/>
    <w:rsid w:val="00491EDF"/>
    <w:rsid w:val="00492A3F"/>
    <w:rsid w:val="00494F62"/>
    <w:rsid w:val="004A2001"/>
    <w:rsid w:val="004A2427"/>
    <w:rsid w:val="004A3590"/>
    <w:rsid w:val="004B00A7"/>
    <w:rsid w:val="004B03ED"/>
    <w:rsid w:val="004B2244"/>
    <w:rsid w:val="004B25E2"/>
    <w:rsid w:val="004B34D7"/>
    <w:rsid w:val="004B5037"/>
    <w:rsid w:val="004B5B2F"/>
    <w:rsid w:val="004B626A"/>
    <w:rsid w:val="004B660E"/>
    <w:rsid w:val="004B78B5"/>
    <w:rsid w:val="004C05BD"/>
    <w:rsid w:val="004C123B"/>
    <w:rsid w:val="004C3B06"/>
    <w:rsid w:val="004C3F97"/>
    <w:rsid w:val="004C7EE7"/>
    <w:rsid w:val="004D1076"/>
    <w:rsid w:val="004D2DEE"/>
    <w:rsid w:val="004D2E1F"/>
    <w:rsid w:val="004D7A4A"/>
    <w:rsid w:val="004D7FD9"/>
    <w:rsid w:val="004E1324"/>
    <w:rsid w:val="004E19A5"/>
    <w:rsid w:val="004E37E5"/>
    <w:rsid w:val="004E39D2"/>
    <w:rsid w:val="004E3FDB"/>
    <w:rsid w:val="004F1D30"/>
    <w:rsid w:val="004F1F4A"/>
    <w:rsid w:val="004F224A"/>
    <w:rsid w:val="004F296D"/>
    <w:rsid w:val="004F3BB6"/>
    <w:rsid w:val="004F508B"/>
    <w:rsid w:val="004F695F"/>
    <w:rsid w:val="004F6CA4"/>
    <w:rsid w:val="00500752"/>
    <w:rsid w:val="00500D07"/>
    <w:rsid w:val="00501A50"/>
    <w:rsid w:val="0050222D"/>
    <w:rsid w:val="0050314F"/>
    <w:rsid w:val="00503AF3"/>
    <w:rsid w:val="00505F80"/>
    <w:rsid w:val="0050696D"/>
    <w:rsid w:val="00506E0F"/>
    <w:rsid w:val="0051094B"/>
    <w:rsid w:val="005110D7"/>
    <w:rsid w:val="00511D99"/>
    <w:rsid w:val="005128D3"/>
    <w:rsid w:val="005147E8"/>
    <w:rsid w:val="005158F2"/>
    <w:rsid w:val="0051639B"/>
    <w:rsid w:val="00516C90"/>
    <w:rsid w:val="00526DFC"/>
    <w:rsid w:val="00526F43"/>
    <w:rsid w:val="00527651"/>
    <w:rsid w:val="00531075"/>
    <w:rsid w:val="005342CD"/>
    <w:rsid w:val="005363AB"/>
    <w:rsid w:val="0054038C"/>
    <w:rsid w:val="0054415C"/>
    <w:rsid w:val="00544EF4"/>
    <w:rsid w:val="00545E53"/>
    <w:rsid w:val="005479D9"/>
    <w:rsid w:val="00554E26"/>
    <w:rsid w:val="005572BD"/>
    <w:rsid w:val="00557A12"/>
    <w:rsid w:val="00560AC7"/>
    <w:rsid w:val="00561047"/>
    <w:rsid w:val="00561AFB"/>
    <w:rsid w:val="00561FA8"/>
    <w:rsid w:val="005635ED"/>
    <w:rsid w:val="00565253"/>
    <w:rsid w:val="005655E8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C13"/>
    <w:rsid w:val="00585F33"/>
    <w:rsid w:val="00586C55"/>
    <w:rsid w:val="0058783D"/>
    <w:rsid w:val="00591124"/>
    <w:rsid w:val="00595F0C"/>
    <w:rsid w:val="00596D40"/>
    <w:rsid w:val="00597024"/>
    <w:rsid w:val="005A0274"/>
    <w:rsid w:val="005A095C"/>
    <w:rsid w:val="005A669D"/>
    <w:rsid w:val="005A75D8"/>
    <w:rsid w:val="005B0F36"/>
    <w:rsid w:val="005B6019"/>
    <w:rsid w:val="005B713E"/>
    <w:rsid w:val="005C03B6"/>
    <w:rsid w:val="005C348E"/>
    <w:rsid w:val="005C68E1"/>
    <w:rsid w:val="005C7F98"/>
    <w:rsid w:val="005D3763"/>
    <w:rsid w:val="005D55E1"/>
    <w:rsid w:val="005D6126"/>
    <w:rsid w:val="005E009D"/>
    <w:rsid w:val="005E19F7"/>
    <w:rsid w:val="005E43D8"/>
    <w:rsid w:val="005E4F04"/>
    <w:rsid w:val="005E62C2"/>
    <w:rsid w:val="005E6C71"/>
    <w:rsid w:val="005E79D1"/>
    <w:rsid w:val="005F0963"/>
    <w:rsid w:val="005F2824"/>
    <w:rsid w:val="005F2EBA"/>
    <w:rsid w:val="005F35ED"/>
    <w:rsid w:val="005F5058"/>
    <w:rsid w:val="005F6E25"/>
    <w:rsid w:val="005F7812"/>
    <w:rsid w:val="005F79C3"/>
    <w:rsid w:val="005F7A88"/>
    <w:rsid w:val="006008D1"/>
    <w:rsid w:val="00603A1A"/>
    <w:rsid w:val="006046D5"/>
    <w:rsid w:val="00607A93"/>
    <w:rsid w:val="006106DB"/>
    <w:rsid w:val="00610C08"/>
    <w:rsid w:val="00611F74"/>
    <w:rsid w:val="00615772"/>
    <w:rsid w:val="00620A41"/>
    <w:rsid w:val="00621256"/>
    <w:rsid w:val="00621FCC"/>
    <w:rsid w:val="006229FA"/>
    <w:rsid w:val="00622E4B"/>
    <w:rsid w:val="006327E1"/>
    <w:rsid w:val="006333DA"/>
    <w:rsid w:val="00633FF4"/>
    <w:rsid w:val="00635134"/>
    <w:rsid w:val="006356E2"/>
    <w:rsid w:val="00642A65"/>
    <w:rsid w:val="00645DCE"/>
    <w:rsid w:val="006465AC"/>
    <w:rsid w:val="006465BF"/>
    <w:rsid w:val="00647C8C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2FE1"/>
    <w:rsid w:val="006A35D5"/>
    <w:rsid w:val="006A72B5"/>
    <w:rsid w:val="006A748A"/>
    <w:rsid w:val="006B26EB"/>
    <w:rsid w:val="006B7753"/>
    <w:rsid w:val="006C419E"/>
    <w:rsid w:val="006C4A31"/>
    <w:rsid w:val="006C5AC2"/>
    <w:rsid w:val="006C6AFB"/>
    <w:rsid w:val="006C7DF9"/>
    <w:rsid w:val="006D2735"/>
    <w:rsid w:val="006D3739"/>
    <w:rsid w:val="006D37E6"/>
    <w:rsid w:val="006D45B2"/>
    <w:rsid w:val="006E00CE"/>
    <w:rsid w:val="006E0FCC"/>
    <w:rsid w:val="006E1E96"/>
    <w:rsid w:val="006E5E21"/>
    <w:rsid w:val="006F2648"/>
    <w:rsid w:val="006F2F10"/>
    <w:rsid w:val="006F3612"/>
    <w:rsid w:val="006F482B"/>
    <w:rsid w:val="006F6311"/>
    <w:rsid w:val="00701952"/>
    <w:rsid w:val="0070230F"/>
    <w:rsid w:val="00702556"/>
    <w:rsid w:val="0070277E"/>
    <w:rsid w:val="00704156"/>
    <w:rsid w:val="00705334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558"/>
    <w:rsid w:val="00730555"/>
    <w:rsid w:val="007312CC"/>
    <w:rsid w:val="00733006"/>
    <w:rsid w:val="0073459B"/>
    <w:rsid w:val="00735211"/>
    <w:rsid w:val="00736A64"/>
    <w:rsid w:val="00737F6A"/>
    <w:rsid w:val="007410B6"/>
    <w:rsid w:val="00744C6F"/>
    <w:rsid w:val="007457F6"/>
    <w:rsid w:val="00745ABB"/>
    <w:rsid w:val="00746E38"/>
    <w:rsid w:val="00747CD5"/>
    <w:rsid w:val="00750E0A"/>
    <w:rsid w:val="0075100E"/>
    <w:rsid w:val="00751930"/>
    <w:rsid w:val="00753B51"/>
    <w:rsid w:val="00756053"/>
    <w:rsid w:val="00756629"/>
    <w:rsid w:val="007575D2"/>
    <w:rsid w:val="00757B4F"/>
    <w:rsid w:val="00757B6A"/>
    <w:rsid w:val="007610E0"/>
    <w:rsid w:val="007621AA"/>
    <w:rsid w:val="0076260A"/>
    <w:rsid w:val="00764258"/>
    <w:rsid w:val="0076443D"/>
    <w:rsid w:val="00764A67"/>
    <w:rsid w:val="00766E7F"/>
    <w:rsid w:val="00770F6B"/>
    <w:rsid w:val="00771883"/>
    <w:rsid w:val="0077232B"/>
    <w:rsid w:val="0077474D"/>
    <w:rsid w:val="007753F9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3AB2"/>
    <w:rsid w:val="00794953"/>
    <w:rsid w:val="007A1F2F"/>
    <w:rsid w:val="007A2A5C"/>
    <w:rsid w:val="007A5150"/>
    <w:rsid w:val="007A5373"/>
    <w:rsid w:val="007A7622"/>
    <w:rsid w:val="007A789F"/>
    <w:rsid w:val="007B37AA"/>
    <w:rsid w:val="007B3F4B"/>
    <w:rsid w:val="007B75BC"/>
    <w:rsid w:val="007C0BD6"/>
    <w:rsid w:val="007C3806"/>
    <w:rsid w:val="007C3F9E"/>
    <w:rsid w:val="007C5BB7"/>
    <w:rsid w:val="007D07D5"/>
    <w:rsid w:val="007D1B33"/>
    <w:rsid w:val="007D1C64"/>
    <w:rsid w:val="007D32DD"/>
    <w:rsid w:val="007D6DCE"/>
    <w:rsid w:val="007D72C4"/>
    <w:rsid w:val="007E19A7"/>
    <w:rsid w:val="007E2CFE"/>
    <w:rsid w:val="007E5554"/>
    <w:rsid w:val="007E59C9"/>
    <w:rsid w:val="007E65FE"/>
    <w:rsid w:val="007F0072"/>
    <w:rsid w:val="007F2EB6"/>
    <w:rsid w:val="007F54C3"/>
    <w:rsid w:val="00800D6A"/>
    <w:rsid w:val="00802949"/>
    <w:rsid w:val="0080301E"/>
    <w:rsid w:val="0080365F"/>
    <w:rsid w:val="00804AD3"/>
    <w:rsid w:val="00811D2F"/>
    <w:rsid w:val="00811F11"/>
    <w:rsid w:val="00812BE5"/>
    <w:rsid w:val="008154F3"/>
    <w:rsid w:val="00816360"/>
    <w:rsid w:val="00817429"/>
    <w:rsid w:val="00821514"/>
    <w:rsid w:val="008217C7"/>
    <w:rsid w:val="00821E35"/>
    <w:rsid w:val="00824591"/>
    <w:rsid w:val="00824AED"/>
    <w:rsid w:val="00825081"/>
    <w:rsid w:val="00825344"/>
    <w:rsid w:val="00827820"/>
    <w:rsid w:val="00831B8B"/>
    <w:rsid w:val="008320CF"/>
    <w:rsid w:val="0083405D"/>
    <w:rsid w:val="0083518A"/>
    <w:rsid w:val="008352D4"/>
    <w:rsid w:val="00836DB9"/>
    <w:rsid w:val="00837C67"/>
    <w:rsid w:val="008415B0"/>
    <w:rsid w:val="00842028"/>
    <w:rsid w:val="008436B8"/>
    <w:rsid w:val="00845EA4"/>
    <w:rsid w:val="008460B6"/>
    <w:rsid w:val="00847214"/>
    <w:rsid w:val="00850C9D"/>
    <w:rsid w:val="00852B59"/>
    <w:rsid w:val="00856272"/>
    <w:rsid w:val="008563FF"/>
    <w:rsid w:val="00856FE5"/>
    <w:rsid w:val="0086018B"/>
    <w:rsid w:val="008611DD"/>
    <w:rsid w:val="008620DE"/>
    <w:rsid w:val="00866867"/>
    <w:rsid w:val="00871EB3"/>
    <w:rsid w:val="00872257"/>
    <w:rsid w:val="008747E1"/>
    <w:rsid w:val="008753E6"/>
    <w:rsid w:val="0087738C"/>
    <w:rsid w:val="008802AF"/>
    <w:rsid w:val="00881926"/>
    <w:rsid w:val="0088318F"/>
    <w:rsid w:val="0088331D"/>
    <w:rsid w:val="008852B0"/>
    <w:rsid w:val="00885AE7"/>
    <w:rsid w:val="008861B4"/>
    <w:rsid w:val="00886B60"/>
    <w:rsid w:val="00887889"/>
    <w:rsid w:val="008920FF"/>
    <w:rsid w:val="008926E8"/>
    <w:rsid w:val="00894F19"/>
    <w:rsid w:val="0089561B"/>
    <w:rsid w:val="00896A10"/>
    <w:rsid w:val="008971B5"/>
    <w:rsid w:val="008A5122"/>
    <w:rsid w:val="008A5D26"/>
    <w:rsid w:val="008A6B13"/>
    <w:rsid w:val="008A6ECB"/>
    <w:rsid w:val="008B0BF9"/>
    <w:rsid w:val="008B2866"/>
    <w:rsid w:val="008B3859"/>
    <w:rsid w:val="008B415B"/>
    <w:rsid w:val="008B436D"/>
    <w:rsid w:val="008B4E49"/>
    <w:rsid w:val="008B7712"/>
    <w:rsid w:val="008B7748"/>
    <w:rsid w:val="008B7B26"/>
    <w:rsid w:val="008C3524"/>
    <w:rsid w:val="008C4061"/>
    <w:rsid w:val="008C4229"/>
    <w:rsid w:val="008C5BE0"/>
    <w:rsid w:val="008C7233"/>
    <w:rsid w:val="008D2434"/>
    <w:rsid w:val="008D32F1"/>
    <w:rsid w:val="008E171D"/>
    <w:rsid w:val="008E2785"/>
    <w:rsid w:val="008E3AB8"/>
    <w:rsid w:val="008E4598"/>
    <w:rsid w:val="008E4B1B"/>
    <w:rsid w:val="008E78A3"/>
    <w:rsid w:val="008E7ED3"/>
    <w:rsid w:val="008F0654"/>
    <w:rsid w:val="008F06CB"/>
    <w:rsid w:val="008F2E83"/>
    <w:rsid w:val="008F612A"/>
    <w:rsid w:val="0090293D"/>
    <w:rsid w:val="0090330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D47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0E49"/>
    <w:rsid w:val="00943751"/>
    <w:rsid w:val="00946DD0"/>
    <w:rsid w:val="00947EBB"/>
    <w:rsid w:val="009509E6"/>
    <w:rsid w:val="00952018"/>
    <w:rsid w:val="00952800"/>
    <w:rsid w:val="0095300D"/>
    <w:rsid w:val="00955124"/>
    <w:rsid w:val="00956812"/>
    <w:rsid w:val="0095719A"/>
    <w:rsid w:val="009623E9"/>
    <w:rsid w:val="00963EEB"/>
    <w:rsid w:val="009648BC"/>
    <w:rsid w:val="00964C2F"/>
    <w:rsid w:val="00965F88"/>
    <w:rsid w:val="00974F84"/>
    <w:rsid w:val="0097794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1998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08FC"/>
    <w:rsid w:val="009D3316"/>
    <w:rsid w:val="009D55AA"/>
    <w:rsid w:val="009E255B"/>
    <w:rsid w:val="009E3E77"/>
    <w:rsid w:val="009E3FAB"/>
    <w:rsid w:val="009E560E"/>
    <w:rsid w:val="009E5B3F"/>
    <w:rsid w:val="009E7D90"/>
    <w:rsid w:val="009F1AB0"/>
    <w:rsid w:val="009F501D"/>
    <w:rsid w:val="00A039D5"/>
    <w:rsid w:val="00A046AD"/>
    <w:rsid w:val="00A05B6C"/>
    <w:rsid w:val="00A079C1"/>
    <w:rsid w:val="00A12520"/>
    <w:rsid w:val="00A130FD"/>
    <w:rsid w:val="00A131BF"/>
    <w:rsid w:val="00A13D6D"/>
    <w:rsid w:val="00A144FC"/>
    <w:rsid w:val="00A14769"/>
    <w:rsid w:val="00A16151"/>
    <w:rsid w:val="00A16EC6"/>
    <w:rsid w:val="00A17C06"/>
    <w:rsid w:val="00A20B1A"/>
    <w:rsid w:val="00A2124F"/>
    <w:rsid w:val="00A2126E"/>
    <w:rsid w:val="00A21706"/>
    <w:rsid w:val="00A22A34"/>
    <w:rsid w:val="00A22ED2"/>
    <w:rsid w:val="00A231DA"/>
    <w:rsid w:val="00A24FCC"/>
    <w:rsid w:val="00A26A90"/>
    <w:rsid w:val="00A26B27"/>
    <w:rsid w:val="00A30E4F"/>
    <w:rsid w:val="00A32253"/>
    <w:rsid w:val="00A3310E"/>
    <w:rsid w:val="00A333A0"/>
    <w:rsid w:val="00A351BD"/>
    <w:rsid w:val="00A35EE2"/>
    <w:rsid w:val="00A3720E"/>
    <w:rsid w:val="00A37B69"/>
    <w:rsid w:val="00A37E70"/>
    <w:rsid w:val="00A428E5"/>
    <w:rsid w:val="00A42A79"/>
    <w:rsid w:val="00A437E1"/>
    <w:rsid w:val="00A4685E"/>
    <w:rsid w:val="00A50CD4"/>
    <w:rsid w:val="00A51191"/>
    <w:rsid w:val="00A5318F"/>
    <w:rsid w:val="00A54EFE"/>
    <w:rsid w:val="00A54FDA"/>
    <w:rsid w:val="00A56D62"/>
    <w:rsid w:val="00A56F07"/>
    <w:rsid w:val="00A57009"/>
    <w:rsid w:val="00A5703A"/>
    <w:rsid w:val="00A5762C"/>
    <w:rsid w:val="00A600FC"/>
    <w:rsid w:val="00A60BCA"/>
    <w:rsid w:val="00A61CCD"/>
    <w:rsid w:val="00A638DA"/>
    <w:rsid w:val="00A65B41"/>
    <w:rsid w:val="00A65E00"/>
    <w:rsid w:val="00A66A78"/>
    <w:rsid w:val="00A73255"/>
    <w:rsid w:val="00A7436E"/>
    <w:rsid w:val="00A74E96"/>
    <w:rsid w:val="00A75A8E"/>
    <w:rsid w:val="00A824DD"/>
    <w:rsid w:val="00A83676"/>
    <w:rsid w:val="00A83A12"/>
    <w:rsid w:val="00A83B7B"/>
    <w:rsid w:val="00A84274"/>
    <w:rsid w:val="00A850F3"/>
    <w:rsid w:val="00A85B21"/>
    <w:rsid w:val="00A864E3"/>
    <w:rsid w:val="00A942A0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2E7D"/>
    <w:rsid w:val="00AB67FC"/>
    <w:rsid w:val="00AB6E71"/>
    <w:rsid w:val="00AC00F2"/>
    <w:rsid w:val="00AC1583"/>
    <w:rsid w:val="00AC31B5"/>
    <w:rsid w:val="00AC3D9F"/>
    <w:rsid w:val="00AC4EA1"/>
    <w:rsid w:val="00AC5381"/>
    <w:rsid w:val="00AC5712"/>
    <w:rsid w:val="00AC5920"/>
    <w:rsid w:val="00AD05B5"/>
    <w:rsid w:val="00AD0E2E"/>
    <w:rsid w:val="00AD0E65"/>
    <w:rsid w:val="00AD2BF2"/>
    <w:rsid w:val="00AD4E90"/>
    <w:rsid w:val="00AD5422"/>
    <w:rsid w:val="00AD6F99"/>
    <w:rsid w:val="00AD79D9"/>
    <w:rsid w:val="00AE4179"/>
    <w:rsid w:val="00AE4425"/>
    <w:rsid w:val="00AE4568"/>
    <w:rsid w:val="00AE4FBE"/>
    <w:rsid w:val="00AE650F"/>
    <w:rsid w:val="00AE6555"/>
    <w:rsid w:val="00AE72E2"/>
    <w:rsid w:val="00AE7D16"/>
    <w:rsid w:val="00AF4CAA"/>
    <w:rsid w:val="00AF571A"/>
    <w:rsid w:val="00AF60A0"/>
    <w:rsid w:val="00AF67FC"/>
    <w:rsid w:val="00AF7DF5"/>
    <w:rsid w:val="00B006E5"/>
    <w:rsid w:val="00B024C2"/>
    <w:rsid w:val="00B03D9A"/>
    <w:rsid w:val="00B07700"/>
    <w:rsid w:val="00B13921"/>
    <w:rsid w:val="00B1528C"/>
    <w:rsid w:val="00B152F5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698F"/>
    <w:rsid w:val="00B369CF"/>
    <w:rsid w:val="00B371CC"/>
    <w:rsid w:val="00B41CD9"/>
    <w:rsid w:val="00B427E6"/>
    <w:rsid w:val="00B428A6"/>
    <w:rsid w:val="00B43E1F"/>
    <w:rsid w:val="00B45FBC"/>
    <w:rsid w:val="00B471D8"/>
    <w:rsid w:val="00B47292"/>
    <w:rsid w:val="00B504CE"/>
    <w:rsid w:val="00B51A7D"/>
    <w:rsid w:val="00B535C2"/>
    <w:rsid w:val="00B55544"/>
    <w:rsid w:val="00B621FC"/>
    <w:rsid w:val="00B62661"/>
    <w:rsid w:val="00B642FC"/>
    <w:rsid w:val="00B64D26"/>
    <w:rsid w:val="00B64FBB"/>
    <w:rsid w:val="00B7074B"/>
    <w:rsid w:val="00B70E22"/>
    <w:rsid w:val="00B7517A"/>
    <w:rsid w:val="00B774CB"/>
    <w:rsid w:val="00B80402"/>
    <w:rsid w:val="00B80B9A"/>
    <w:rsid w:val="00B830B7"/>
    <w:rsid w:val="00B848EA"/>
    <w:rsid w:val="00B84B2B"/>
    <w:rsid w:val="00B8743A"/>
    <w:rsid w:val="00B90500"/>
    <w:rsid w:val="00B9176C"/>
    <w:rsid w:val="00B935A4"/>
    <w:rsid w:val="00BA1C72"/>
    <w:rsid w:val="00BA561A"/>
    <w:rsid w:val="00BA58B7"/>
    <w:rsid w:val="00BB0DC6"/>
    <w:rsid w:val="00BB15E4"/>
    <w:rsid w:val="00BB1E19"/>
    <w:rsid w:val="00BB21D1"/>
    <w:rsid w:val="00BB32F2"/>
    <w:rsid w:val="00BB3FAC"/>
    <w:rsid w:val="00BB4338"/>
    <w:rsid w:val="00BB6C0E"/>
    <w:rsid w:val="00BB795D"/>
    <w:rsid w:val="00BB7B38"/>
    <w:rsid w:val="00BC11E5"/>
    <w:rsid w:val="00BC3B6F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14A"/>
    <w:rsid w:val="00BE56FB"/>
    <w:rsid w:val="00BE651B"/>
    <w:rsid w:val="00BF0C32"/>
    <w:rsid w:val="00BF3DDE"/>
    <w:rsid w:val="00BF424A"/>
    <w:rsid w:val="00BF6253"/>
    <w:rsid w:val="00BF6589"/>
    <w:rsid w:val="00BF6F7F"/>
    <w:rsid w:val="00BF7F4D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3CD3"/>
    <w:rsid w:val="00C260B1"/>
    <w:rsid w:val="00C26E56"/>
    <w:rsid w:val="00C31406"/>
    <w:rsid w:val="00C31568"/>
    <w:rsid w:val="00C34048"/>
    <w:rsid w:val="00C34140"/>
    <w:rsid w:val="00C35390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88E"/>
    <w:rsid w:val="00C62300"/>
    <w:rsid w:val="00C62B75"/>
    <w:rsid w:val="00C63476"/>
    <w:rsid w:val="00C667BE"/>
    <w:rsid w:val="00C6766B"/>
    <w:rsid w:val="00C70E8E"/>
    <w:rsid w:val="00C72223"/>
    <w:rsid w:val="00C76417"/>
    <w:rsid w:val="00C7726F"/>
    <w:rsid w:val="00C80C25"/>
    <w:rsid w:val="00C823DA"/>
    <w:rsid w:val="00C8259F"/>
    <w:rsid w:val="00C82746"/>
    <w:rsid w:val="00C8312F"/>
    <w:rsid w:val="00C84C47"/>
    <w:rsid w:val="00C858A4"/>
    <w:rsid w:val="00C86AFA"/>
    <w:rsid w:val="00C943B3"/>
    <w:rsid w:val="00C97AC6"/>
    <w:rsid w:val="00CA5619"/>
    <w:rsid w:val="00CB18D0"/>
    <w:rsid w:val="00CB1C8A"/>
    <w:rsid w:val="00CB24F5"/>
    <w:rsid w:val="00CB2663"/>
    <w:rsid w:val="00CB3BBE"/>
    <w:rsid w:val="00CB59E9"/>
    <w:rsid w:val="00CC0D6A"/>
    <w:rsid w:val="00CC32D8"/>
    <w:rsid w:val="00CC3831"/>
    <w:rsid w:val="00CC3E3D"/>
    <w:rsid w:val="00CC4DAC"/>
    <w:rsid w:val="00CC519B"/>
    <w:rsid w:val="00CC5BFF"/>
    <w:rsid w:val="00CD12C1"/>
    <w:rsid w:val="00CD214E"/>
    <w:rsid w:val="00CD3128"/>
    <w:rsid w:val="00CD46FA"/>
    <w:rsid w:val="00CD4FF1"/>
    <w:rsid w:val="00CD5973"/>
    <w:rsid w:val="00CE31A6"/>
    <w:rsid w:val="00CF09AA"/>
    <w:rsid w:val="00CF10C7"/>
    <w:rsid w:val="00CF2214"/>
    <w:rsid w:val="00CF25E6"/>
    <w:rsid w:val="00CF4813"/>
    <w:rsid w:val="00CF5233"/>
    <w:rsid w:val="00D029B8"/>
    <w:rsid w:val="00D02F60"/>
    <w:rsid w:val="00D0464E"/>
    <w:rsid w:val="00D04A96"/>
    <w:rsid w:val="00D068B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56A"/>
    <w:rsid w:val="00D32721"/>
    <w:rsid w:val="00D328DC"/>
    <w:rsid w:val="00D33387"/>
    <w:rsid w:val="00D33AC5"/>
    <w:rsid w:val="00D402FB"/>
    <w:rsid w:val="00D42329"/>
    <w:rsid w:val="00D44F53"/>
    <w:rsid w:val="00D47D7A"/>
    <w:rsid w:val="00D50ABD"/>
    <w:rsid w:val="00D52A47"/>
    <w:rsid w:val="00D55290"/>
    <w:rsid w:val="00D55B05"/>
    <w:rsid w:val="00D574FB"/>
    <w:rsid w:val="00D57791"/>
    <w:rsid w:val="00D6046A"/>
    <w:rsid w:val="00D60B95"/>
    <w:rsid w:val="00D62870"/>
    <w:rsid w:val="00D630A0"/>
    <w:rsid w:val="00D64252"/>
    <w:rsid w:val="00D646E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B70"/>
    <w:rsid w:val="00D80E7D"/>
    <w:rsid w:val="00D81181"/>
    <w:rsid w:val="00D81397"/>
    <w:rsid w:val="00D82033"/>
    <w:rsid w:val="00D82727"/>
    <w:rsid w:val="00D848B9"/>
    <w:rsid w:val="00D8687E"/>
    <w:rsid w:val="00D90E69"/>
    <w:rsid w:val="00D91368"/>
    <w:rsid w:val="00D93106"/>
    <w:rsid w:val="00D933E9"/>
    <w:rsid w:val="00D9505D"/>
    <w:rsid w:val="00D953D0"/>
    <w:rsid w:val="00D959F5"/>
    <w:rsid w:val="00D95B9F"/>
    <w:rsid w:val="00D96884"/>
    <w:rsid w:val="00DA09A1"/>
    <w:rsid w:val="00DA3FDD"/>
    <w:rsid w:val="00DA7017"/>
    <w:rsid w:val="00DA7028"/>
    <w:rsid w:val="00DA79A8"/>
    <w:rsid w:val="00DB1AD2"/>
    <w:rsid w:val="00DB2B58"/>
    <w:rsid w:val="00DB4205"/>
    <w:rsid w:val="00DB4ED8"/>
    <w:rsid w:val="00DB5206"/>
    <w:rsid w:val="00DB6276"/>
    <w:rsid w:val="00DB63F5"/>
    <w:rsid w:val="00DC1C6B"/>
    <w:rsid w:val="00DC2B99"/>
    <w:rsid w:val="00DC2BB0"/>
    <w:rsid w:val="00DC2C2E"/>
    <w:rsid w:val="00DC4AF0"/>
    <w:rsid w:val="00DC7886"/>
    <w:rsid w:val="00DD0CF2"/>
    <w:rsid w:val="00DD5307"/>
    <w:rsid w:val="00DE1554"/>
    <w:rsid w:val="00DE2901"/>
    <w:rsid w:val="00DE590F"/>
    <w:rsid w:val="00DE7DC1"/>
    <w:rsid w:val="00DF3F7E"/>
    <w:rsid w:val="00DF7648"/>
    <w:rsid w:val="00E00E29"/>
    <w:rsid w:val="00E02BAB"/>
    <w:rsid w:val="00E038BB"/>
    <w:rsid w:val="00E04CEB"/>
    <w:rsid w:val="00E060BC"/>
    <w:rsid w:val="00E0708D"/>
    <w:rsid w:val="00E11420"/>
    <w:rsid w:val="00E132FB"/>
    <w:rsid w:val="00E170B7"/>
    <w:rsid w:val="00E1754E"/>
    <w:rsid w:val="00E177DD"/>
    <w:rsid w:val="00E20900"/>
    <w:rsid w:val="00E20C7F"/>
    <w:rsid w:val="00E2396E"/>
    <w:rsid w:val="00E24728"/>
    <w:rsid w:val="00E25B14"/>
    <w:rsid w:val="00E26AD3"/>
    <w:rsid w:val="00E276AC"/>
    <w:rsid w:val="00E34A35"/>
    <w:rsid w:val="00E36BEA"/>
    <w:rsid w:val="00E37C2F"/>
    <w:rsid w:val="00E41C28"/>
    <w:rsid w:val="00E42416"/>
    <w:rsid w:val="00E427B6"/>
    <w:rsid w:val="00E46308"/>
    <w:rsid w:val="00E51D2B"/>
    <w:rsid w:val="00E51E17"/>
    <w:rsid w:val="00E52DAB"/>
    <w:rsid w:val="00E539B0"/>
    <w:rsid w:val="00E55994"/>
    <w:rsid w:val="00E55A7A"/>
    <w:rsid w:val="00E5741C"/>
    <w:rsid w:val="00E57C73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67C05"/>
    <w:rsid w:val="00E71208"/>
    <w:rsid w:val="00E71444"/>
    <w:rsid w:val="00E71C91"/>
    <w:rsid w:val="00E71DDC"/>
    <w:rsid w:val="00E720A1"/>
    <w:rsid w:val="00E75DDA"/>
    <w:rsid w:val="00E76287"/>
    <w:rsid w:val="00E773E8"/>
    <w:rsid w:val="00E80DA5"/>
    <w:rsid w:val="00E83A54"/>
    <w:rsid w:val="00E83ADD"/>
    <w:rsid w:val="00E83FA9"/>
    <w:rsid w:val="00E84F38"/>
    <w:rsid w:val="00E85623"/>
    <w:rsid w:val="00E86A8E"/>
    <w:rsid w:val="00E87441"/>
    <w:rsid w:val="00E90738"/>
    <w:rsid w:val="00E907CB"/>
    <w:rsid w:val="00E91FAE"/>
    <w:rsid w:val="00E9449D"/>
    <w:rsid w:val="00E96E3F"/>
    <w:rsid w:val="00EA270C"/>
    <w:rsid w:val="00EA4974"/>
    <w:rsid w:val="00EA532E"/>
    <w:rsid w:val="00EA55FB"/>
    <w:rsid w:val="00EA5D66"/>
    <w:rsid w:val="00EA6E63"/>
    <w:rsid w:val="00EA7F83"/>
    <w:rsid w:val="00EB06D9"/>
    <w:rsid w:val="00EB192B"/>
    <w:rsid w:val="00EB19ED"/>
    <w:rsid w:val="00EB1A9C"/>
    <w:rsid w:val="00EB1CAB"/>
    <w:rsid w:val="00EC0F5A"/>
    <w:rsid w:val="00EC1F60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F1F"/>
    <w:rsid w:val="00EF3486"/>
    <w:rsid w:val="00EF47AF"/>
    <w:rsid w:val="00EF53B6"/>
    <w:rsid w:val="00EF78A9"/>
    <w:rsid w:val="00F00B73"/>
    <w:rsid w:val="00F070FB"/>
    <w:rsid w:val="00F115CA"/>
    <w:rsid w:val="00F11A8D"/>
    <w:rsid w:val="00F14817"/>
    <w:rsid w:val="00F14EBA"/>
    <w:rsid w:val="00F1510F"/>
    <w:rsid w:val="00F1533A"/>
    <w:rsid w:val="00F15982"/>
    <w:rsid w:val="00F15E5A"/>
    <w:rsid w:val="00F17212"/>
    <w:rsid w:val="00F17F0A"/>
    <w:rsid w:val="00F2184B"/>
    <w:rsid w:val="00F22090"/>
    <w:rsid w:val="00F24014"/>
    <w:rsid w:val="00F2668F"/>
    <w:rsid w:val="00F2742F"/>
    <w:rsid w:val="00F2753B"/>
    <w:rsid w:val="00F30639"/>
    <w:rsid w:val="00F319B4"/>
    <w:rsid w:val="00F33F8B"/>
    <w:rsid w:val="00F340B2"/>
    <w:rsid w:val="00F35239"/>
    <w:rsid w:val="00F36172"/>
    <w:rsid w:val="00F403A9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1EFB"/>
    <w:rsid w:val="00F62E4D"/>
    <w:rsid w:val="00F66B34"/>
    <w:rsid w:val="00F675B9"/>
    <w:rsid w:val="00F6793D"/>
    <w:rsid w:val="00F7083F"/>
    <w:rsid w:val="00F711C9"/>
    <w:rsid w:val="00F74C59"/>
    <w:rsid w:val="00F75C3A"/>
    <w:rsid w:val="00F82E30"/>
    <w:rsid w:val="00F831CB"/>
    <w:rsid w:val="00F84074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95E"/>
    <w:rsid w:val="00FA44DF"/>
    <w:rsid w:val="00FA4EDC"/>
    <w:rsid w:val="00FA60B8"/>
    <w:rsid w:val="00FA7F91"/>
    <w:rsid w:val="00FB0A7A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2E95"/>
    <w:rsid w:val="00FD3689"/>
    <w:rsid w:val="00FD42A3"/>
    <w:rsid w:val="00FD467A"/>
    <w:rsid w:val="00FD5194"/>
    <w:rsid w:val="00FD51AF"/>
    <w:rsid w:val="00FD7468"/>
    <w:rsid w:val="00FD7CE0"/>
    <w:rsid w:val="00FE0B3B"/>
    <w:rsid w:val="00FE0E44"/>
    <w:rsid w:val="00FE1BE2"/>
    <w:rsid w:val="00FE24E9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33B47"/>
  <w15:docId w15:val="{3557D994-6A4C-4F3E-A45A-CC39E902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1B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3E79B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A05B6C"/>
    <w:rPr>
      <w:color w:val="0000FF"/>
      <w:u w:val="single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A351BD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A351BD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A351BD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/>
      <w:color w:val="000000"/>
    </w:rPr>
  </w:style>
  <w:style w:type="character" w:customStyle="1" w:styleId="cf01">
    <w:name w:val="cf01"/>
    <w:basedOn w:val="Domylnaczcionkaakapitu"/>
    <w:rsid w:val="00A351BD"/>
    <w:rPr>
      <w:rFonts w:ascii="Segoe UI" w:hAnsi="Segoe UI" w:cs="Segoe UI" w:hint="default"/>
      <w:color w:val="4C4C4C"/>
      <w:sz w:val="18"/>
      <w:szCs w:val="18"/>
      <w:shd w:val="clear" w:color="auto" w:fill="FFFFFF"/>
    </w:rPr>
  </w:style>
  <w:style w:type="character" w:customStyle="1" w:styleId="cf11">
    <w:name w:val="cf11"/>
    <w:basedOn w:val="Domylnaczcionkaakapitu"/>
    <w:rsid w:val="00A351BD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266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D3128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128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CD31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8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30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7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wlasnowolski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869bc03-0068-40da-a54a-3674aefa3804}" enabled="1" method="Privileged" siteId="{6b5e84bc-ccb4-4457-85a0-05c2a812f6c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5</Pages>
  <Words>1655</Words>
  <Characters>9934</Characters>
  <Application>Microsoft Office Word</Application>
  <DocSecurity>4</DocSecurity>
  <Lines>82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Szulc Iwona</dc:creator>
  <cp:lastModifiedBy>Wójcik Aleksandra</cp:lastModifiedBy>
  <cp:revision>2</cp:revision>
  <cp:lastPrinted>2012-04-23T06:39:00Z</cp:lastPrinted>
  <dcterms:created xsi:type="dcterms:W3CDTF">2026-07-29T08:45:00Z</dcterms:created>
  <dcterms:modified xsi:type="dcterms:W3CDTF">2026-07-29T08:45:00Z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