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E0945" w14:textId="77777777" w:rsidR="00EA7EE5" w:rsidRPr="00BA1951" w:rsidRDefault="00EA7EE5" w:rsidP="00BA1951">
      <w:pPr>
        <w:widowControl/>
        <w:spacing w:after="240"/>
        <w:ind w:left="3538"/>
        <w:rPr>
          <w:rFonts w:eastAsiaTheme="minorHAnsi" w:cs="Times New Roman"/>
          <w:caps/>
          <w:szCs w:val="24"/>
        </w:rPr>
      </w:pPr>
      <w:r w:rsidRPr="00BA1951">
        <w:rPr>
          <w:rFonts w:eastAsiaTheme="minorHAnsi" w:cs="Times New Roman"/>
          <w:caps/>
          <w:szCs w:val="24"/>
          <w:lang w:eastAsia="en-US"/>
        </w:rPr>
        <w:t>Uzasadnienie</w:t>
      </w:r>
    </w:p>
    <w:p w14:paraId="7A313A7E" w14:textId="69897634" w:rsidR="005374BD" w:rsidRPr="00BF4F33" w:rsidRDefault="005374BD" w:rsidP="00BA1951">
      <w:pPr>
        <w:widowControl/>
        <w:spacing w:before="120"/>
        <w:jc w:val="both"/>
        <w:rPr>
          <w:rFonts w:cs="Times New Roman"/>
          <w:b/>
          <w:bCs/>
          <w:szCs w:val="24"/>
        </w:rPr>
      </w:pPr>
      <w:r w:rsidRPr="00BF4F33">
        <w:rPr>
          <w:rFonts w:cs="Times New Roman"/>
          <w:b/>
          <w:bCs/>
          <w:szCs w:val="24"/>
        </w:rPr>
        <w:t>I. Cel i istota projektu</w:t>
      </w:r>
    </w:p>
    <w:p w14:paraId="5988A2B9" w14:textId="1FBB8EC3" w:rsidR="00BA388A" w:rsidRPr="00BF4F33" w:rsidRDefault="00BA388A" w:rsidP="00BA1951">
      <w:pPr>
        <w:widowControl/>
        <w:spacing w:before="120"/>
        <w:jc w:val="both"/>
        <w:rPr>
          <w:rFonts w:cs="Times New Roman"/>
          <w:szCs w:val="24"/>
        </w:rPr>
      </w:pPr>
      <w:r w:rsidRPr="00BF4F33">
        <w:rPr>
          <w:rFonts w:cs="Times New Roman"/>
          <w:szCs w:val="24"/>
        </w:rPr>
        <w:t>Niniejszy projekt stanowi kontynuację prac legislacyjnych nad rozwiązaniami przyjętymi w ustawie z dnia 3 lipca 2026 r. o podatku od nadzwyczajnych zysków osiągniętych w okresie od marca do grudnia 2026 r. ze zbycia paliw ciekłych, skierowanej przez Prezydenta Rzeczypospolitej Polskiej do Trybunału Konstytucyjnego w trybie kontroli prewencyjnej. Kontynuowanie inicjatywy ustawodawczej stanowi zarazem odpowiedź na pogarszającą się sytuację na rynku paliw oraz wzrost cen spowodowany przedłużającym się konfliktem na Bliskim Wschodzie.</w:t>
      </w:r>
    </w:p>
    <w:p w14:paraId="1312D1E8" w14:textId="63481AE9" w:rsidR="00C27103" w:rsidRPr="00BF4F33" w:rsidRDefault="00BA388A" w:rsidP="00BA1951">
      <w:pPr>
        <w:widowControl/>
        <w:spacing w:before="120"/>
        <w:jc w:val="both"/>
        <w:rPr>
          <w:rFonts w:cs="Times New Roman"/>
          <w:szCs w:val="24"/>
        </w:rPr>
      </w:pPr>
      <w:r w:rsidRPr="00BF4F33">
        <w:rPr>
          <w:rFonts w:cs="Times New Roman"/>
          <w:szCs w:val="24"/>
        </w:rPr>
        <w:t>Projekt zakłada</w:t>
      </w:r>
      <w:r w:rsidR="00EA7EE5" w:rsidRPr="00BF4F33">
        <w:rPr>
          <w:rFonts w:cs="Times New Roman"/>
          <w:szCs w:val="24"/>
        </w:rPr>
        <w:t xml:space="preserve"> wprowadzenie czasowego podatku od nadzwyczajnych zysków (tzw. </w:t>
      </w:r>
      <w:proofErr w:type="spellStart"/>
      <w:r w:rsidR="00EA7EE5" w:rsidRPr="00BF4F33">
        <w:rPr>
          <w:rFonts w:cs="Times New Roman"/>
          <w:szCs w:val="24"/>
        </w:rPr>
        <w:t>windfall</w:t>
      </w:r>
      <w:proofErr w:type="spellEnd"/>
      <w:r w:rsidR="00EA7EE5" w:rsidRPr="00BF4F33">
        <w:rPr>
          <w:rFonts w:cs="Times New Roman"/>
          <w:szCs w:val="24"/>
        </w:rPr>
        <w:t xml:space="preserve"> tax) osiągniętych w</w:t>
      </w:r>
      <w:r w:rsidR="00FE23B4" w:rsidRPr="00BF4F33">
        <w:rPr>
          <w:rFonts w:cs="Times New Roman"/>
          <w:szCs w:val="24"/>
        </w:rPr>
        <w:t xml:space="preserve"> okresie marzec–grudzień</w:t>
      </w:r>
      <w:r w:rsidR="00EA7EE5" w:rsidRPr="00BF4F33">
        <w:rPr>
          <w:rFonts w:cs="Times New Roman"/>
          <w:szCs w:val="24"/>
        </w:rPr>
        <w:t xml:space="preserve"> 2026 r. przez przedsiębiorców prowadzących działalność w </w:t>
      </w:r>
      <w:r w:rsidR="00FE23B4" w:rsidRPr="00BF4F33">
        <w:rPr>
          <w:rFonts w:cs="Times New Roman"/>
          <w:szCs w:val="24"/>
        </w:rPr>
        <w:t xml:space="preserve">zakresie wytwarzania </w:t>
      </w:r>
      <w:r w:rsidR="00366B13" w:rsidRPr="00BF4F33">
        <w:rPr>
          <w:rFonts w:cs="Times New Roman"/>
          <w:szCs w:val="24"/>
        </w:rPr>
        <w:t>oraz</w:t>
      </w:r>
      <w:r w:rsidR="00FE23B4" w:rsidRPr="00BF4F33">
        <w:rPr>
          <w:rFonts w:cs="Times New Roman"/>
          <w:szCs w:val="24"/>
        </w:rPr>
        <w:t xml:space="preserve"> obrotu paliwami </w:t>
      </w:r>
      <w:r w:rsidR="00792F77" w:rsidRPr="00BF4F33">
        <w:rPr>
          <w:rFonts w:eastAsia="Times New Roman" w:cs="Times New Roman"/>
          <w:szCs w:val="24"/>
        </w:rPr>
        <w:t>na podstawie koncesji na obrót paliwami ciekłymi z zagranicą</w:t>
      </w:r>
      <w:r w:rsidR="002078D1" w:rsidRPr="00BF4F33">
        <w:rPr>
          <w:rFonts w:eastAsia="Times New Roman" w:cs="Times New Roman"/>
          <w:szCs w:val="24"/>
        </w:rPr>
        <w:t>.</w:t>
      </w:r>
      <w:r w:rsidR="006D273B" w:rsidRPr="00BF4F33">
        <w:rPr>
          <w:rFonts w:cs="Times New Roman"/>
          <w:szCs w:val="24"/>
        </w:rPr>
        <w:t xml:space="preserve"> Projektowana regulacja stanowi odpowiedź na wyjątkowe uwarunkowania gospodarcze oraz geopolityczne, które doprowadziły do powstania ponadprzeciętnych wyników finansowych w określonym segmencie sektora paliwowego, niewynikających z poprawy efektywności operacyjnej, ponoszenia zwiększonego ryzyka gospodarczego, czy też realizacji dodatkowych inwestycji, lecz stanowiących skutek szoku podażowego.</w:t>
      </w:r>
    </w:p>
    <w:p w14:paraId="294271D7" w14:textId="1EA44F41" w:rsidR="005374BD" w:rsidRPr="00BF4F33" w:rsidRDefault="005374BD" w:rsidP="00BA1951">
      <w:pPr>
        <w:widowControl/>
        <w:spacing w:before="120"/>
        <w:jc w:val="both"/>
        <w:rPr>
          <w:rFonts w:cs="Times New Roman"/>
          <w:b/>
          <w:bCs/>
          <w:szCs w:val="24"/>
        </w:rPr>
      </w:pPr>
      <w:r w:rsidRPr="00BF4F33">
        <w:rPr>
          <w:rFonts w:cs="Times New Roman"/>
          <w:b/>
          <w:bCs/>
          <w:szCs w:val="24"/>
        </w:rPr>
        <w:t xml:space="preserve">II. Kontekst wprowadzenia </w:t>
      </w:r>
      <w:r w:rsidR="005264BA" w:rsidRPr="00BF4F33">
        <w:rPr>
          <w:rFonts w:cs="Times New Roman"/>
          <w:b/>
          <w:bCs/>
          <w:szCs w:val="24"/>
        </w:rPr>
        <w:t>regulacji i jej uzasadnienie aksjologiczno-społeczne</w:t>
      </w:r>
    </w:p>
    <w:p w14:paraId="586BEC47" w14:textId="33415B48" w:rsidR="006D273B" w:rsidRPr="00BF4F33" w:rsidRDefault="006D273B" w:rsidP="00BA1951">
      <w:pPr>
        <w:widowControl/>
        <w:spacing w:before="120"/>
        <w:jc w:val="both"/>
        <w:rPr>
          <w:rFonts w:cs="Times New Roman"/>
          <w:szCs w:val="24"/>
        </w:rPr>
      </w:pPr>
      <w:r w:rsidRPr="00BF4F33">
        <w:rPr>
          <w:rFonts w:cs="Times New Roman"/>
          <w:szCs w:val="24"/>
        </w:rPr>
        <w:t xml:space="preserve">Bezpośrednim impulsem do podjęcia inicjatywy legislacyjnej była gwałtowna destabilizacja światowych rynków energii w pierwszym kwartale 2026 r., związana z eskalacją konfliktu zbrojnego w regionie Bliskiego Wschodu oraz istotnymi zakłóceniami w funkcjonowaniu kluczowych szlaków transportowych ropy naftowej. </w:t>
      </w:r>
      <w:r w:rsidR="00DB5EB0" w:rsidRPr="00BF4F33">
        <w:rPr>
          <w:rFonts w:cs="Times New Roman"/>
          <w:szCs w:val="24"/>
        </w:rPr>
        <w:t>Eskalacja działań militarnych w regionie Zatoki Perskiej doprowadziła do faktycznej blokady Cieśniny Ormuz – strategicznego przesmyku, przez który przepływa blisko 20% światowej podaży ropy naftowej. Nagłe i</w:t>
      </w:r>
      <w:r w:rsidR="00B85531" w:rsidRPr="00BF4F33">
        <w:rPr>
          <w:rFonts w:cs="Times New Roman"/>
          <w:szCs w:val="24"/>
        </w:rPr>
        <w:t> </w:t>
      </w:r>
      <w:r w:rsidR="00DB5EB0" w:rsidRPr="00BF4F33">
        <w:rPr>
          <w:rFonts w:cs="Times New Roman"/>
          <w:szCs w:val="24"/>
        </w:rPr>
        <w:t xml:space="preserve">drastyczne ograniczenie podaży surowca wywołało silną </w:t>
      </w:r>
      <w:r w:rsidR="00B00B7B" w:rsidRPr="00BF4F33">
        <w:rPr>
          <w:rFonts w:cs="Times New Roman"/>
          <w:szCs w:val="24"/>
        </w:rPr>
        <w:t xml:space="preserve">reakcję </w:t>
      </w:r>
      <w:r w:rsidR="00DB5EB0" w:rsidRPr="00BF4F33">
        <w:rPr>
          <w:rFonts w:cs="Times New Roman"/>
          <w:szCs w:val="24"/>
        </w:rPr>
        <w:t xml:space="preserve">na rynkach towarowych: cena ropy gatunku Brent wzrosła z poziomu ok. 65 USD za baryłkę w styczniu 2026 r. do szczytowych 126 USD za baryłkę w marcu 2026 r. </w:t>
      </w:r>
    </w:p>
    <w:p w14:paraId="16C6AC71" w14:textId="2B181BFD" w:rsidR="006D273B" w:rsidRPr="00BF4F33" w:rsidRDefault="006D273B" w:rsidP="00BA1951">
      <w:pPr>
        <w:widowControl/>
        <w:spacing w:before="120"/>
        <w:jc w:val="both"/>
        <w:rPr>
          <w:rFonts w:cs="Times New Roman"/>
          <w:szCs w:val="24"/>
        </w:rPr>
      </w:pPr>
      <w:r w:rsidRPr="00BF4F33">
        <w:rPr>
          <w:rFonts w:cs="Times New Roman"/>
          <w:szCs w:val="24"/>
        </w:rPr>
        <w:t>Zdarzenia te spowodowały skokowy wzrost cen surowca na rynkach światowych, a</w:t>
      </w:r>
      <w:r w:rsidR="005575DC" w:rsidRPr="00BF4F33">
        <w:rPr>
          <w:rFonts w:cs="Times New Roman"/>
          <w:szCs w:val="24"/>
        </w:rPr>
        <w:t> </w:t>
      </w:r>
      <w:r w:rsidRPr="00BF4F33">
        <w:rPr>
          <w:rFonts w:cs="Times New Roman"/>
          <w:szCs w:val="24"/>
        </w:rPr>
        <w:t>jednocześnie – co ma zasadnicze znaczenie z perspektywy projektowanej regulacji – nadzwyczajne zwiększenie marż</w:t>
      </w:r>
      <w:r w:rsidR="004231DD" w:rsidRPr="00BF4F33">
        <w:rPr>
          <w:rFonts w:cs="Times New Roman"/>
          <w:szCs w:val="24"/>
        </w:rPr>
        <w:t xml:space="preserve"> handlowych</w:t>
      </w:r>
      <w:r w:rsidRPr="00BF4F33">
        <w:rPr>
          <w:rFonts w:cs="Times New Roman"/>
          <w:szCs w:val="24"/>
        </w:rPr>
        <w:t xml:space="preserve"> na rynkach europejskich, w tym na rynku krajowym</w:t>
      </w:r>
      <w:r w:rsidR="00DB5EB0" w:rsidRPr="00BF4F33">
        <w:rPr>
          <w:rFonts w:cs="Times New Roman"/>
          <w:szCs w:val="24"/>
        </w:rPr>
        <w:t>, wielokrotnie przekraczając historyczne średnie.</w:t>
      </w:r>
    </w:p>
    <w:p w14:paraId="47C576D5" w14:textId="5D8DE78A" w:rsidR="00034055" w:rsidRPr="00BF4F33" w:rsidRDefault="00034055" w:rsidP="00BA1951">
      <w:pPr>
        <w:widowControl/>
        <w:jc w:val="both"/>
        <w:rPr>
          <w:rFonts w:cs="Times New Roman"/>
          <w:szCs w:val="24"/>
        </w:rPr>
      </w:pPr>
      <w:r w:rsidRPr="00BF4F33">
        <w:rPr>
          <w:rFonts w:cs="Times New Roman"/>
          <w:szCs w:val="24"/>
        </w:rPr>
        <w:lastRenderedPageBreak/>
        <w:t>Powyższe okoliczności przełożyły się na istotny wzrost rentowności przedsiębiorstw paliwowych zajmujących się w szczególności przetwórstwem ropy naftowej. Przykładowo, zgodnie z danymi publikowanymi przez grupę ORLEN</w:t>
      </w:r>
      <w:r w:rsidRPr="00BF4F33">
        <w:rPr>
          <w:rStyle w:val="Odwoanieprzypisudolnego"/>
          <w:rFonts w:cs="Times New Roman"/>
          <w:szCs w:val="24"/>
        </w:rPr>
        <w:footnoteReference w:id="1"/>
      </w:r>
      <w:r w:rsidR="00BF4F33" w:rsidRPr="00BF4F33">
        <w:rPr>
          <w:rFonts w:cs="Times New Roman"/>
          <w:szCs w:val="24"/>
          <w:vertAlign w:val="superscript"/>
        </w:rPr>
        <w:t>)</w:t>
      </w:r>
      <w:r w:rsidR="00BF4F33" w:rsidRPr="00BF4F33">
        <w:rPr>
          <w:rFonts w:cs="Times New Roman"/>
          <w:szCs w:val="24"/>
        </w:rPr>
        <w:t>:</w:t>
      </w:r>
    </w:p>
    <w:p w14:paraId="7D6CB0C7" w14:textId="3A72B278" w:rsidR="00034055" w:rsidRPr="00BF4F33" w:rsidRDefault="00034055" w:rsidP="00BA1951">
      <w:pPr>
        <w:widowControl/>
        <w:ind w:left="426" w:hanging="426"/>
        <w:jc w:val="both"/>
        <w:rPr>
          <w:rFonts w:cs="Times New Roman"/>
          <w:szCs w:val="24"/>
        </w:rPr>
      </w:pPr>
      <w:r w:rsidRPr="00BF4F33">
        <w:rPr>
          <w:rFonts w:cs="Times New Roman"/>
          <w:szCs w:val="24"/>
        </w:rPr>
        <w:t>•</w:t>
      </w:r>
      <w:r w:rsidRPr="00BF4F33">
        <w:rPr>
          <w:rFonts w:cs="Times New Roman"/>
          <w:szCs w:val="24"/>
        </w:rPr>
        <w:tab/>
        <w:t>Przychody w II kwartale 2026 r. wyniosły 76,5 mld zł, tj. o 25,8% więcej niż w tym okresie 2025 r. (2Q2025 = 60,8 mld zł)</w:t>
      </w:r>
      <w:r w:rsidR="00747B13">
        <w:rPr>
          <w:rFonts w:cs="Times New Roman"/>
          <w:szCs w:val="24"/>
        </w:rPr>
        <w:t>,</w:t>
      </w:r>
    </w:p>
    <w:p w14:paraId="4DC6B59B" w14:textId="27F87C1D" w:rsidR="00034055" w:rsidRPr="00BF4F33" w:rsidRDefault="00034055" w:rsidP="00BA1951">
      <w:pPr>
        <w:widowControl/>
        <w:ind w:left="426" w:hanging="426"/>
        <w:jc w:val="both"/>
        <w:rPr>
          <w:rFonts w:cs="Times New Roman"/>
          <w:szCs w:val="24"/>
        </w:rPr>
      </w:pPr>
      <w:r w:rsidRPr="00BF4F33">
        <w:rPr>
          <w:rFonts w:cs="Times New Roman"/>
          <w:szCs w:val="24"/>
        </w:rPr>
        <w:t>•</w:t>
      </w:r>
      <w:r w:rsidRPr="00BF4F33">
        <w:rPr>
          <w:rFonts w:cs="Times New Roman"/>
          <w:szCs w:val="24"/>
        </w:rPr>
        <w:tab/>
        <w:t>EBITDA LIFO W II kwartale 2026 r. wyniosła 13,9 mld zł, tj. o 54,4% więcej niż w tym okresie 2025 r. (2Q2025 = 9 mld zł)</w:t>
      </w:r>
      <w:r w:rsidR="00747B13">
        <w:rPr>
          <w:rFonts w:cs="Times New Roman"/>
          <w:szCs w:val="24"/>
        </w:rPr>
        <w:t>.</w:t>
      </w:r>
    </w:p>
    <w:p w14:paraId="56F673CD" w14:textId="433326AE" w:rsidR="00034055" w:rsidRPr="00BF4F33" w:rsidRDefault="00034055" w:rsidP="00BA1951">
      <w:pPr>
        <w:widowControl/>
        <w:jc w:val="both"/>
        <w:rPr>
          <w:rFonts w:cs="Times New Roman"/>
          <w:szCs w:val="24"/>
        </w:rPr>
      </w:pPr>
      <w:r w:rsidRPr="00BF4F33">
        <w:rPr>
          <w:rFonts w:cs="Times New Roman"/>
          <w:szCs w:val="24"/>
        </w:rPr>
        <w:t xml:space="preserve">Największy wzrost r/r zanotował segment </w:t>
      </w:r>
      <w:r w:rsidRPr="00BF4F33">
        <w:rPr>
          <w:rFonts w:cs="Times New Roman"/>
          <w:i/>
          <w:iCs/>
          <w:szCs w:val="24"/>
        </w:rPr>
        <w:t>Downstream</w:t>
      </w:r>
      <w:r w:rsidRPr="00BF4F33">
        <w:rPr>
          <w:rFonts w:cs="Times New Roman"/>
          <w:szCs w:val="24"/>
        </w:rPr>
        <w:t xml:space="preserve"> (obejmujący m.in. rafinację ropy naftowej) – EBITDA LIFO tego segmentu w 2Q2026 wyniosła nieco ponad 5,9 mld zł wobec prawie 1,9 mld zł w 2Q2025</w:t>
      </w:r>
      <w:r w:rsidRPr="00BF4F33">
        <w:rPr>
          <w:rStyle w:val="Odwoanieprzypisudolnego"/>
          <w:rFonts w:cs="Times New Roman"/>
          <w:szCs w:val="24"/>
        </w:rPr>
        <w:footnoteReference w:id="2"/>
      </w:r>
      <w:r w:rsidR="00BF4F33" w:rsidRPr="00BF4F33">
        <w:rPr>
          <w:rFonts w:cs="Times New Roman"/>
          <w:szCs w:val="24"/>
          <w:vertAlign w:val="superscript"/>
        </w:rPr>
        <w:t>)</w:t>
      </w:r>
      <w:r w:rsidRPr="00BF4F33">
        <w:rPr>
          <w:rFonts w:cs="Times New Roman"/>
          <w:szCs w:val="24"/>
        </w:rPr>
        <w:t xml:space="preserve">. </w:t>
      </w:r>
    </w:p>
    <w:p w14:paraId="45601E94" w14:textId="59F936EA" w:rsidR="00034055" w:rsidRPr="00BA1951" w:rsidRDefault="00034055" w:rsidP="00BA1951">
      <w:pPr>
        <w:widowControl/>
        <w:jc w:val="both"/>
        <w:rPr>
          <w:rFonts w:eastAsiaTheme="minorHAnsi" w:cs="Times New Roman"/>
          <w:szCs w:val="24"/>
        </w:rPr>
      </w:pPr>
      <w:r w:rsidRPr="00BF4F33">
        <w:rPr>
          <w:rFonts w:cs="Times New Roman"/>
          <w:szCs w:val="24"/>
        </w:rPr>
        <w:t>Z kolei, zgodnie z danymi opublikowanymi przez UNIMOT S.A.</w:t>
      </w:r>
      <w:r w:rsidRPr="00BF4F33">
        <w:rPr>
          <w:rStyle w:val="Odwoanieprzypisudolnego"/>
          <w:rFonts w:cs="Times New Roman"/>
          <w:szCs w:val="24"/>
        </w:rPr>
        <w:footnoteReference w:id="3"/>
      </w:r>
      <w:r w:rsidR="00BF4F33" w:rsidRPr="00BF4F33">
        <w:rPr>
          <w:rFonts w:cs="Times New Roman"/>
          <w:szCs w:val="24"/>
          <w:vertAlign w:val="superscript"/>
        </w:rPr>
        <w:t>)</w:t>
      </w:r>
      <w:r w:rsidRPr="00BF4F33">
        <w:rPr>
          <w:rFonts w:cs="Times New Roman"/>
          <w:szCs w:val="24"/>
        </w:rPr>
        <w:t xml:space="preserve">: </w:t>
      </w:r>
    </w:p>
    <w:p w14:paraId="1381EBCF" w14:textId="5A1DCFE9" w:rsidR="00034055" w:rsidRPr="00BF4F33" w:rsidRDefault="00034055" w:rsidP="00BA1951">
      <w:pPr>
        <w:widowControl/>
        <w:ind w:left="426" w:hanging="426"/>
        <w:jc w:val="both"/>
        <w:rPr>
          <w:rFonts w:cs="Times New Roman"/>
          <w:szCs w:val="24"/>
        </w:rPr>
      </w:pPr>
      <w:r w:rsidRPr="00BF4F33">
        <w:rPr>
          <w:rFonts w:cs="Times New Roman"/>
          <w:szCs w:val="24"/>
        </w:rPr>
        <w:t>•</w:t>
      </w:r>
      <w:r w:rsidRPr="00BF4F33">
        <w:rPr>
          <w:rFonts w:cs="Times New Roman"/>
          <w:szCs w:val="24"/>
        </w:rPr>
        <w:tab/>
        <w:t>Przychody w II kwartale 2026 r. wyniosły 4,36 mld zł, tj. o 17,2% więcej niż w tym okresie 2025 r. (2Q2025 = 3,72 mld zł)</w:t>
      </w:r>
      <w:r w:rsidR="00747B13">
        <w:rPr>
          <w:rFonts w:cs="Times New Roman"/>
          <w:szCs w:val="24"/>
        </w:rPr>
        <w:t>,</w:t>
      </w:r>
    </w:p>
    <w:p w14:paraId="7A402815" w14:textId="77777777" w:rsidR="00034055" w:rsidRPr="00BF4F33" w:rsidRDefault="00034055" w:rsidP="00BA1951">
      <w:pPr>
        <w:widowControl/>
        <w:ind w:left="426" w:hanging="426"/>
        <w:jc w:val="both"/>
        <w:rPr>
          <w:rFonts w:cs="Times New Roman"/>
          <w:szCs w:val="24"/>
        </w:rPr>
      </w:pPr>
      <w:r w:rsidRPr="00BF4F33">
        <w:rPr>
          <w:rFonts w:cs="Times New Roman"/>
          <w:szCs w:val="24"/>
        </w:rPr>
        <w:t>•</w:t>
      </w:r>
      <w:r w:rsidRPr="00BF4F33">
        <w:rPr>
          <w:rFonts w:cs="Times New Roman"/>
          <w:szCs w:val="24"/>
        </w:rPr>
        <w:tab/>
        <w:t xml:space="preserve">Skonsolidowana skorygowana EBIDA w II kwartale 2026 r. wyniosła 140 mln zł, tj. o 27,3% więcej niż w tym okresie 2025 r. (2Q2025 = 110 mln zł). </w:t>
      </w:r>
    </w:p>
    <w:p w14:paraId="57B2C733" w14:textId="571E1E0A" w:rsidR="00034055" w:rsidRPr="00BF4F33" w:rsidRDefault="00034055" w:rsidP="00BA1951">
      <w:pPr>
        <w:widowControl/>
        <w:jc w:val="both"/>
        <w:rPr>
          <w:rFonts w:cs="Times New Roman"/>
          <w:szCs w:val="24"/>
        </w:rPr>
      </w:pPr>
      <w:r w:rsidRPr="00BF4F33">
        <w:rPr>
          <w:rFonts w:cs="Times New Roman"/>
          <w:szCs w:val="24"/>
        </w:rPr>
        <w:t>O pozytywnym wpływie blokady cieśniny Ormuz na wyniki finansowe firm z tego sektora paliwowego świadczą również opublikowane już przez nie raporty finansowe.</w:t>
      </w:r>
      <w:r w:rsidR="00747B13">
        <w:rPr>
          <w:rFonts w:cs="Times New Roman"/>
          <w:szCs w:val="24"/>
        </w:rPr>
        <w:t xml:space="preserve"> </w:t>
      </w:r>
      <w:r w:rsidRPr="00BF4F33">
        <w:rPr>
          <w:rFonts w:cs="Times New Roman"/>
          <w:szCs w:val="24"/>
        </w:rPr>
        <w:t xml:space="preserve">Wynika z nich, że osiem największych międzynarodowych koncernów paliwowych (w tym Saudi Aramco, ExxonMobil, Chevron, BP, Shell, TotalEnergies, Equinor i Eni) osiągnęło w samym drugim kwartale 2026 roku łączny skumulowany zysk netto na poziomie </w:t>
      </w:r>
      <w:r w:rsidRPr="00BF4F33">
        <w:rPr>
          <w:rStyle w:val="Pogrubienie"/>
          <w:rFonts w:cs="Times New Roman"/>
          <w:szCs w:val="24"/>
        </w:rPr>
        <w:t>niemal 93 miliardów dolarów</w:t>
      </w:r>
      <w:r w:rsidRPr="00BF4F33">
        <w:rPr>
          <w:rFonts w:cs="Times New Roman"/>
          <w:szCs w:val="24"/>
        </w:rPr>
        <w:t>, co oznacza prawie dwukrotny wzrost w porównaniu do analogicznego okresu roku poprzedniego</w:t>
      </w:r>
      <w:r w:rsidRPr="00BF4F33">
        <w:rPr>
          <w:rStyle w:val="Odwoanieprzypisudolnego"/>
          <w:rFonts w:cs="Times New Roman"/>
          <w:szCs w:val="24"/>
        </w:rPr>
        <w:footnoteReference w:id="4"/>
      </w:r>
      <w:r w:rsidR="00BF4F33" w:rsidRPr="00BF4F33">
        <w:rPr>
          <w:rFonts w:cs="Times New Roman"/>
          <w:szCs w:val="24"/>
          <w:vertAlign w:val="superscript"/>
        </w:rPr>
        <w:t>)</w:t>
      </w:r>
      <w:r w:rsidR="00BF4F33" w:rsidRPr="00BF4F33">
        <w:rPr>
          <w:rFonts w:cs="Times New Roman"/>
          <w:szCs w:val="24"/>
        </w:rPr>
        <w:t>.</w:t>
      </w:r>
      <w:r w:rsidRPr="00BF4F33">
        <w:rPr>
          <w:rFonts w:cs="Times New Roman"/>
          <w:szCs w:val="24"/>
        </w:rPr>
        <w:t xml:space="preserve"> </w:t>
      </w:r>
    </w:p>
    <w:p w14:paraId="3FDD11D5" w14:textId="1CD2A28D" w:rsidR="00DB5EB0" w:rsidRPr="00BF4F33" w:rsidRDefault="00DB5EB0" w:rsidP="00BA1951">
      <w:pPr>
        <w:widowControl/>
        <w:spacing w:before="120"/>
        <w:jc w:val="both"/>
        <w:rPr>
          <w:rFonts w:cs="Times New Roman"/>
          <w:szCs w:val="24"/>
        </w:rPr>
      </w:pPr>
      <w:r w:rsidRPr="00BF4F33">
        <w:rPr>
          <w:rFonts w:cs="Times New Roman"/>
          <w:szCs w:val="24"/>
          <w:shd w:val="clear" w:color="auto" w:fill="FFFFFF" w:themeFill="background1"/>
        </w:rPr>
        <w:t xml:space="preserve">W tym samym czasie polscy konsumenci </w:t>
      </w:r>
      <w:r w:rsidR="00AD4987" w:rsidRPr="00BF4F33">
        <w:rPr>
          <w:rFonts w:cs="Times New Roman"/>
          <w:szCs w:val="24"/>
          <w:shd w:val="clear" w:color="auto" w:fill="FFFFFF" w:themeFill="background1"/>
        </w:rPr>
        <w:t xml:space="preserve">i przedsiębiorcy </w:t>
      </w:r>
      <w:r w:rsidRPr="00BF4F33">
        <w:rPr>
          <w:rFonts w:cs="Times New Roman"/>
          <w:szCs w:val="24"/>
          <w:shd w:val="clear" w:color="auto" w:fill="FFFFFF" w:themeFill="background1"/>
        </w:rPr>
        <w:t>zmagali się z wzrostem cen paliw na stacjach</w:t>
      </w:r>
      <w:r w:rsidR="002F429F" w:rsidRPr="00BF4F33">
        <w:rPr>
          <w:rFonts w:cs="Times New Roman"/>
          <w:szCs w:val="24"/>
          <w:shd w:val="clear" w:color="auto" w:fill="FFFFFF" w:themeFill="background1"/>
        </w:rPr>
        <w:t>.</w:t>
      </w:r>
      <w:r w:rsidR="002F429F" w:rsidRPr="00BF4F33">
        <w:rPr>
          <w:rFonts w:cs="Times New Roman"/>
          <w:szCs w:val="24"/>
        </w:rPr>
        <w:t xml:space="preserve"> </w:t>
      </w:r>
      <w:r w:rsidRPr="00BF4F33">
        <w:rPr>
          <w:rFonts w:cs="Times New Roman"/>
          <w:szCs w:val="24"/>
        </w:rPr>
        <w:t>Wysokie ceny energii uderzyły w sektor transportowy, przemysł oraz gospodarstwa domowe. Obciążenia te dotknęły w nieproporcjonalnie większym stopniu podmioty o niższych dochodach, pogłębiając ryzyko wykluczenia energetycznego.</w:t>
      </w:r>
      <w:r w:rsidR="002F429F" w:rsidRPr="00BF4F33">
        <w:rPr>
          <w:rFonts w:cs="Times New Roman"/>
          <w:szCs w:val="24"/>
        </w:rPr>
        <w:t xml:space="preserve"> Z jednej strony</w:t>
      </w:r>
      <w:r w:rsidR="00B85531" w:rsidRPr="00BF4F33">
        <w:rPr>
          <w:rFonts w:cs="Times New Roman"/>
          <w:szCs w:val="24"/>
        </w:rPr>
        <w:t xml:space="preserve"> zatem</w:t>
      </w:r>
      <w:r w:rsidR="002F429F" w:rsidRPr="00BF4F33">
        <w:rPr>
          <w:rFonts w:cs="Times New Roman"/>
          <w:szCs w:val="24"/>
        </w:rPr>
        <w:t xml:space="preserve"> gospodarstwa domowe, przedsiębiorstwa energochłonne oraz sektor transportu poniosły koszty w</w:t>
      </w:r>
      <w:r w:rsidR="00B85531" w:rsidRPr="00BF4F33">
        <w:rPr>
          <w:rFonts w:cs="Times New Roman"/>
          <w:szCs w:val="24"/>
        </w:rPr>
        <w:t>ynikające z</w:t>
      </w:r>
      <w:r w:rsidR="002F429F" w:rsidRPr="00BF4F33">
        <w:rPr>
          <w:rFonts w:cs="Times New Roman"/>
          <w:szCs w:val="24"/>
        </w:rPr>
        <w:t xml:space="preserve"> gwałtownego wzrostu cen paliw, co przełożyło się na presję inflacyjną oraz </w:t>
      </w:r>
      <w:r w:rsidR="002F429F" w:rsidRPr="00BF4F33">
        <w:rPr>
          <w:rFonts w:cs="Times New Roman"/>
          <w:szCs w:val="24"/>
        </w:rPr>
        <w:lastRenderedPageBreak/>
        <w:t xml:space="preserve">pogorszenie warunków prowadzenia działalności gospodarczej. Z drugiej strony, część podmiotów </w:t>
      </w:r>
      <w:r w:rsidR="004231DD" w:rsidRPr="00BF4F33">
        <w:rPr>
          <w:rFonts w:cs="Times New Roman"/>
          <w:szCs w:val="24"/>
        </w:rPr>
        <w:t>branży paliwowej</w:t>
      </w:r>
      <w:r w:rsidR="002F429F" w:rsidRPr="00BF4F33">
        <w:rPr>
          <w:rFonts w:cs="Times New Roman"/>
          <w:szCs w:val="24"/>
        </w:rPr>
        <w:t xml:space="preserve"> osiągnęła rekordowe wyniki finansowe, których skala znacząco przekroczyła średnie historyczne poziomy rentowności.</w:t>
      </w:r>
    </w:p>
    <w:p w14:paraId="72E2B18F" w14:textId="35DD2842" w:rsidR="005A4499" w:rsidRPr="00BF4F33" w:rsidRDefault="005A4499" w:rsidP="00BA1951">
      <w:pPr>
        <w:widowControl/>
        <w:spacing w:before="120"/>
        <w:jc w:val="both"/>
        <w:rPr>
          <w:rFonts w:cs="Times New Roman"/>
          <w:szCs w:val="24"/>
        </w:rPr>
      </w:pPr>
      <w:r w:rsidRPr="00BF4F33">
        <w:rPr>
          <w:rFonts w:cs="Times New Roman"/>
          <w:szCs w:val="24"/>
        </w:rPr>
        <w:t>W odpowiedzi na wzrost cen paliw uruchomiono szereg doraźnych mechanizmów fiskalnych. Działania te obejm</w:t>
      </w:r>
      <w:r w:rsidR="00352304" w:rsidRPr="00BF4F33">
        <w:rPr>
          <w:rFonts w:cs="Times New Roman"/>
          <w:szCs w:val="24"/>
        </w:rPr>
        <w:t>owały</w:t>
      </w:r>
      <w:r w:rsidRPr="00BF4F33">
        <w:rPr>
          <w:rFonts w:cs="Times New Roman"/>
          <w:szCs w:val="24"/>
        </w:rPr>
        <w:t xml:space="preserve"> </w:t>
      </w:r>
      <w:r w:rsidR="009D0D01" w:rsidRPr="00BF4F33">
        <w:rPr>
          <w:rFonts w:cs="Times New Roman"/>
          <w:szCs w:val="24"/>
        </w:rPr>
        <w:t>obniżenie</w:t>
      </w:r>
      <w:r w:rsidRPr="00BF4F33">
        <w:rPr>
          <w:rFonts w:cs="Times New Roman"/>
          <w:szCs w:val="24"/>
        </w:rPr>
        <w:t xml:space="preserve"> stawk</w:t>
      </w:r>
      <w:r w:rsidR="009D0D01" w:rsidRPr="00BF4F33">
        <w:rPr>
          <w:rFonts w:cs="Times New Roman"/>
          <w:szCs w:val="24"/>
        </w:rPr>
        <w:t>i podatku</w:t>
      </w:r>
      <w:r w:rsidRPr="00BF4F33">
        <w:rPr>
          <w:rFonts w:cs="Times New Roman"/>
          <w:szCs w:val="24"/>
        </w:rPr>
        <w:t xml:space="preserve"> VAT na benzynę i olej napędowy do poziomu </w:t>
      </w:r>
      <w:r w:rsidR="003E18F4" w:rsidRPr="00BF4F33">
        <w:rPr>
          <w:rFonts w:cs="Times New Roman"/>
          <w:szCs w:val="24"/>
        </w:rPr>
        <w:t>8</w:t>
      </w:r>
      <w:r w:rsidRPr="00BF4F33">
        <w:rPr>
          <w:rFonts w:cs="Times New Roman"/>
          <w:szCs w:val="24"/>
        </w:rPr>
        <w:t>%</w:t>
      </w:r>
      <w:r w:rsidR="00352304" w:rsidRPr="00BF4F33">
        <w:rPr>
          <w:rFonts w:cs="Times New Roman"/>
          <w:szCs w:val="24"/>
        </w:rPr>
        <w:t xml:space="preserve"> oraz</w:t>
      </w:r>
      <w:r w:rsidRPr="00BF4F33">
        <w:rPr>
          <w:rFonts w:cs="Times New Roman"/>
          <w:szCs w:val="24"/>
        </w:rPr>
        <w:t xml:space="preserve"> </w:t>
      </w:r>
      <w:r w:rsidR="009D0D01" w:rsidRPr="00BF4F33">
        <w:rPr>
          <w:rFonts w:cs="Times New Roman"/>
          <w:szCs w:val="24"/>
        </w:rPr>
        <w:t>redukcję</w:t>
      </w:r>
      <w:r w:rsidRPr="00BF4F33">
        <w:rPr>
          <w:rFonts w:cs="Times New Roman"/>
          <w:szCs w:val="24"/>
        </w:rPr>
        <w:t xml:space="preserve"> akcyz</w:t>
      </w:r>
      <w:r w:rsidR="009D0D01" w:rsidRPr="00BF4F33">
        <w:rPr>
          <w:rFonts w:cs="Times New Roman"/>
          <w:szCs w:val="24"/>
        </w:rPr>
        <w:t>y</w:t>
      </w:r>
      <w:r w:rsidRPr="00BF4F33">
        <w:rPr>
          <w:rFonts w:cs="Times New Roman"/>
          <w:szCs w:val="24"/>
        </w:rPr>
        <w:t xml:space="preserve"> na paliwa silnikowe do </w:t>
      </w:r>
      <w:r w:rsidR="003E18F4" w:rsidRPr="00BF4F33">
        <w:rPr>
          <w:rFonts w:cs="Times New Roman"/>
          <w:szCs w:val="24"/>
        </w:rPr>
        <w:t xml:space="preserve">najniższego poziomu dopuszczonego przez </w:t>
      </w:r>
      <w:r w:rsidR="00BB2CAC" w:rsidRPr="00BF4F33">
        <w:rPr>
          <w:rFonts w:cs="Times New Roman"/>
          <w:szCs w:val="24"/>
        </w:rPr>
        <w:t>regulacje unijne</w:t>
      </w:r>
      <w:r w:rsidR="009D0D01" w:rsidRPr="00BF4F33">
        <w:rPr>
          <w:rFonts w:cs="Times New Roman"/>
          <w:szCs w:val="24"/>
        </w:rPr>
        <w:t>. Ponadto</w:t>
      </w:r>
      <w:r w:rsidR="00C3314F" w:rsidRPr="00BF4F33">
        <w:rPr>
          <w:rFonts w:cs="Times New Roman"/>
          <w:szCs w:val="24"/>
        </w:rPr>
        <w:t>, w</w:t>
      </w:r>
      <w:r w:rsidR="005575DC" w:rsidRPr="00BF4F33">
        <w:rPr>
          <w:rFonts w:cs="Times New Roman"/>
          <w:szCs w:val="24"/>
        </w:rPr>
        <w:t> </w:t>
      </w:r>
      <w:r w:rsidR="00C3314F" w:rsidRPr="00BF4F33">
        <w:rPr>
          <w:rFonts w:cs="Times New Roman"/>
          <w:szCs w:val="24"/>
        </w:rPr>
        <w:t>celu ochrony konsumentów przed nieuczciwymi praktykami rynkowymi i spekulacjami na etapie sprzedaży detalicznej,</w:t>
      </w:r>
      <w:r w:rsidR="009D0D01" w:rsidRPr="00BF4F33">
        <w:rPr>
          <w:rFonts w:cs="Times New Roman"/>
          <w:szCs w:val="24"/>
        </w:rPr>
        <w:t xml:space="preserve"> w ramach dostępnych</w:t>
      </w:r>
      <w:r w:rsidR="00C3314F" w:rsidRPr="00BF4F33">
        <w:rPr>
          <w:rFonts w:cs="Times New Roman"/>
          <w:szCs w:val="24"/>
        </w:rPr>
        <w:t xml:space="preserve"> instrumentów interwencji rynkowej</w:t>
      </w:r>
      <w:r w:rsidRPr="00BF4F33">
        <w:rPr>
          <w:rFonts w:cs="Times New Roman"/>
          <w:szCs w:val="24"/>
        </w:rPr>
        <w:t xml:space="preserve"> wprowadzono maksymalne ceny detaliczne paliw, których stosowanie stało się obowiązkiem koncesjonowanych sprzedawców.</w:t>
      </w:r>
    </w:p>
    <w:p w14:paraId="04556148" w14:textId="1D9CA4D9" w:rsidR="00C3314F" w:rsidRPr="00BF4F33" w:rsidRDefault="00635DDB" w:rsidP="00BA1951">
      <w:pPr>
        <w:widowControl/>
        <w:spacing w:before="120"/>
        <w:jc w:val="both"/>
        <w:rPr>
          <w:rFonts w:cs="Times New Roman"/>
          <w:szCs w:val="24"/>
        </w:rPr>
      </w:pPr>
      <w:r w:rsidRPr="00BF4F33">
        <w:rPr>
          <w:rFonts w:cs="Times New Roman"/>
          <w:szCs w:val="24"/>
        </w:rPr>
        <w:t xml:space="preserve">Koszt fiskalny tych działań w ciągu 3 miesięcy od wprowadzania CPN spowodował ubytek dochodów budżetu państwa szacowany na ok. 4,8 mld zł. </w:t>
      </w:r>
      <w:r w:rsidR="00C3314F" w:rsidRPr="00BF4F33">
        <w:rPr>
          <w:rFonts w:cs="Times New Roman"/>
          <w:szCs w:val="24"/>
        </w:rPr>
        <w:t>Instrumenty te, choć niezbędne dla doraźnej ochrony konsumentów</w:t>
      </w:r>
      <w:r w:rsidR="00AD4987" w:rsidRPr="00BF4F33">
        <w:rPr>
          <w:rFonts w:cs="Times New Roman"/>
          <w:szCs w:val="24"/>
        </w:rPr>
        <w:t xml:space="preserve"> i przedsiębiorców, w szczególności małych i średnich</w:t>
      </w:r>
      <w:r w:rsidR="00C3314F" w:rsidRPr="00BF4F33">
        <w:rPr>
          <w:rFonts w:cs="Times New Roman"/>
          <w:szCs w:val="24"/>
        </w:rPr>
        <w:t>, nie rozwiązują podstawowej nierównowagi: ciężar wsparcia cenowego ponosi</w:t>
      </w:r>
      <w:r w:rsidR="00034055" w:rsidRPr="00BF4F33">
        <w:rPr>
          <w:rFonts w:cs="Times New Roman"/>
          <w:szCs w:val="24"/>
        </w:rPr>
        <w:t>ł</w:t>
      </w:r>
      <w:r w:rsidR="00C3314F" w:rsidRPr="00BF4F33">
        <w:rPr>
          <w:rFonts w:cs="Times New Roman"/>
          <w:szCs w:val="24"/>
        </w:rPr>
        <w:t xml:space="preserve"> budżet państwa, a więc </w:t>
      </w:r>
      <w:r w:rsidR="00C3314F" w:rsidRPr="00BF4F33">
        <w:rPr>
          <w:rFonts w:cs="Times New Roman"/>
          <w:i/>
          <w:iCs/>
          <w:szCs w:val="24"/>
        </w:rPr>
        <w:t>de facto</w:t>
      </w:r>
      <w:r w:rsidR="00C3314F" w:rsidRPr="00BF4F33">
        <w:rPr>
          <w:rFonts w:cs="Times New Roman"/>
          <w:szCs w:val="24"/>
        </w:rPr>
        <w:t xml:space="preserve"> ogół podatników, podczas gdy beneficjentem nadzwyczajnych marż pozostaj</w:t>
      </w:r>
      <w:r w:rsidR="00052C8D" w:rsidRPr="00BF4F33">
        <w:rPr>
          <w:rFonts w:cs="Times New Roman"/>
          <w:szCs w:val="24"/>
        </w:rPr>
        <w:t>ą przedsiębiorstwa paliwowe</w:t>
      </w:r>
      <w:r w:rsidR="00C3314F" w:rsidRPr="00BF4F33">
        <w:rPr>
          <w:rFonts w:cs="Times New Roman"/>
          <w:szCs w:val="24"/>
        </w:rPr>
        <w:t xml:space="preserve">. </w:t>
      </w:r>
    </w:p>
    <w:p w14:paraId="7567BAE3" w14:textId="39733B34" w:rsidR="005A4499" w:rsidRPr="00BF4F33" w:rsidRDefault="00C3314F" w:rsidP="00BA1951">
      <w:pPr>
        <w:widowControl/>
        <w:spacing w:before="120"/>
        <w:jc w:val="both"/>
        <w:rPr>
          <w:rFonts w:cs="Times New Roman"/>
          <w:szCs w:val="24"/>
        </w:rPr>
      </w:pPr>
      <w:r w:rsidRPr="00BF4F33">
        <w:rPr>
          <w:rFonts w:cs="Times New Roman"/>
          <w:szCs w:val="24"/>
        </w:rPr>
        <w:t>Podatek od nadzwyczajnych zysków koryguje tę asymetrię, pozwalając odzyskać część środków, które w normalnych warunkach rynkowych</w:t>
      </w:r>
      <w:r w:rsidR="00AD4987" w:rsidRPr="00BF4F33">
        <w:rPr>
          <w:rFonts w:cs="Times New Roman"/>
          <w:szCs w:val="24"/>
        </w:rPr>
        <w:t xml:space="preserve"> (braku nadzwyczajnej sytuacji związanej z konfliktem na Bliskim Wschodzie) </w:t>
      </w:r>
      <w:r w:rsidRPr="00BF4F33">
        <w:rPr>
          <w:rFonts w:cs="Times New Roman"/>
          <w:szCs w:val="24"/>
        </w:rPr>
        <w:t xml:space="preserve">nie trafiłyby do przedsiębiorstw </w:t>
      </w:r>
      <w:r w:rsidR="00366B13" w:rsidRPr="00BF4F33">
        <w:rPr>
          <w:rFonts w:cs="Times New Roman"/>
          <w:szCs w:val="24"/>
        </w:rPr>
        <w:t>sektora paliwowego</w:t>
      </w:r>
      <w:r w:rsidR="00326A19" w:rsidRPr="00BF4F33">
        <w:rPr>
          <w:rFonts w:cs="Times New Roman"/>
          <w:szCs w:val="24"/>
        </w:rPr>
        <w:t xml:space="preserve">. Środki te zasilając budżet państwa pozwolą zrównoważyć ubytek we wpływach w podatku VAT i podatku akcyzowym związany z podjętymi działaniami </w:t>
      </w:r>
      <w:r w:rsidRPr="00BF4F33">
        <w:rPr>
          <w:rFonts w:cs="Times New Roman"/>
          <w:szCs w:val="24"/>
        </w:rPr>
        <w:t>osłonowy</w:t>
      </w:r>
      <w:r w:rsidR="00326A19" w:rsidRPr="00BF4F33">
        <w:rPr>
          <w:rFonts w:cs="Times New Roman"/>
          <w:szCs w:val="24"/>
        </w:rPr>
        <w:t>mi</w:t>
      </w:r>
      <w:r w:rsidRPr="00BF4F33">
        <w:rPr>
          <w:rFonts w:cs="Times New Roman"/>
          <w:szCs w:val="24"/>
        </w:rPr>
        <w:t xml:space="preserve">. Należy więc uznać, że proponowana danina </w:t>
      </w:r>
      <w:r w:rsidR="00AD4987" w:rsidRPr="00BF4F33">
        <w:rPr>
          <w:rFonts w:cs="Times New Roman"/>
          <w:szCs w:val="24"/>
        </w:rPr>
        <w:t xml:space="preserve">– w aspekcie funkcjonalnym </w:t>
      </w:r>
      <w:r w:rsidR="00747B13">
        <w:rPr>
          <w:rFonts w:cs="Times New Roman"/>
          <w:szCs w:val="24"/>
        </w:rPr>
        <w:t>–</w:t>
      </w:r>
      <w:r w:rsidR="00AD4987" w:rsidRPr="00BF4F33">
        <w:rPr>
          <w:rFonts w:cs="Times New Roman"/>
          <w:szCs w:val="24"/>
        </w:rPr>
        <w:t xml:space="preserve"> </w:t>
      </w:r>
      <w:r w:rsidRPr="00BF4F33">
        <w:rPr>
          <w:rFonts w:cs="Times New Roman"/>
          <w:szCs w:val="24"/>
        </w:rPr>
        <w:t>stanowi dopełnienie uprzednio podjętych działań osłonowych</w:t>
      </w:r>
      <w:r w:rsidR="00E72D93" w:rsidRPr="00BF4F33">
        <w:rPr>
          <w:rFonts w:cs="Times New Roman"/>
          <w:szCs w:val="24"/>
        </w:rPr>
        <w:t>;</w:t>
      </w:r>
      <w:r w:rsidR="005A4499" w:rsidRPr="00BF4F33">
        <w:rPr>
          <w:rFonts w:cs="Times New Roman"/>
          <w:szCs w:val="24"/>
        </w:rPr>
        <w:t xml:space="preserve"> podczas gdy obniżki podatków pośrednich i ceny maksymalne chronią budżety domowe przy dystrybutorach, wpływy z nowej daniny zapewniają </w:t>
      </w:r>
      <w:r w:rsidR="00E72D93" w:rsidRPr="00BF4F33">
        <w:rPr>
          <w:rFonts w:cs="Times New Roman"/>
          <w:szCs w:val="24"/>
        </w:rPr>
        <w:t>niezbędne</w:t>
      </w:r>
      <w:r w:rsidR="005A4499" w:rsidRPr="00BF4F33">
        <w:rPr>
          <w:rFonts w:cs="Times New Roman"/>
          <w:szCs w:val="24"/>
        </w:rPr>
        <w:t xml:space="preserve"> źródło finansowania dla opisanych wyżej programów wsparcia.</w:t>
      </w:r>
    </w:p>
    <w:p w14:paraId="080EC4C1" w14:textId="431C0E73" w:rsidR="009D336D" w:rsidRPr="00BF4F33" w:rsidRDefault="00BA566A" w:rsidP="00BA1951">
      <w:pPr>
        <w:widowControl/>
        <w:spacing w:before="120"/>
        <w:jc w:val="both"/>
        <w:rPr>
          <w:rFonts w:cs="Times New Roman"/>
          <w:szCs w:val="24"/>
        </w:rPr>
      </w:pPr>
      <w:r w:rsidRPr="00BF4F33">
        <w:rPr>
          <w:rFonts w:cs="Times New Roman"/>
          <w:szCs w:val="24"/>
        </w:rPr>
        <w:t>Projektowana ustawa zmierza</w:t>
      </w:r>
      <w:r w:rsidR="00352304" w:rsidRPr="00BF4F33">
        <w:rPr>
          <w:rFonts w:cs="Times New Roman"/>
          <w:szCs w:val="24"/>
        </w:rPr>
        <w:t xml:space="preserve"> więc</w:t>
      </w:r>
      <w:r w:rsidRPr="00BF4F33">
        <w:rPr>
          <w:rFonts w:cs="Times New Roman"/>
          <w:szCs w:val="24"/>
        </w:rPr>
        <w:t xml:space="preserve"> do przywrócenia równowagi pomiędzy interesem publicznym a interesem prywatnym w warunkach nadzwyczajnych zaburzeń rynkowych.</w:t>
      </w:r>
      <w:r w:rsidR="009D336D" w:rsidRPr="00BF4F33">
        <w:rPr>
          <w:rFonts w:cs="Times New Roman"/>
          <w:szCs w:val="24"/>
        </w:rPr>
        <w:t xml:space="preserve"> Ustanowienie proponowanej daniny stanowi wyjście naprzeciw powinnościom wynikającym dla państwa z </w:t>
      </w:r>
      <w:r w:rsidR="002C029E" w:rsidRPr="00BF4F33">
        <w:rPr>
          <w:rFonts w:cs="Times New Roman"/>
          <w:szCs w:val="24"/>
        </w:rPr>
        <w:t>konstytucyjnej</w:t>
      </w:r>
      <w:r w:rsidR="009D336D" w:rsidRPr="00BF4F33">
        <w:rPr>
          <w:rFonts w:cs="Times New Roman"/>
          <w:szCs w:val="24"/>
        </w:rPr>
        <w:t xml:space="preserve"> zasady sprawiedliwości podatkowej. Zgodnie z</w:t>
      </w:r>
      <w:r w:rsidR="000B72EF" w:rsidRPr="00BF4F33">
        <w:rPr>
          <w:rFonts w:cs="Times New Roman"/>
          <w:szCs w:val="24"/>
        </w:rPr>
        <w:t> </w:t>
      </w:r>
      <w:r w:rsidR="009D336D" w:rsidRPr="00BF4F33">
        <w:rPr>
          <w:rFonts w:cs="Times New Roman"/>
          <w:szCs w:val="24"/>
        </w:rPr>
        <w:t>niniejsz</w:t>
      </w:r>
      <w:r w:rsidR="00352304" w:rsidRPr="00BF4F33">
        <w:rPr>
          <w:rFonts w:cs="Times New Roman"/>
          <w:szCs w:val="24"/>
        </w:rPr>
        <w:t>ą</w:t>
      </w:r>
      <w:r w:rsidR="009D336D" w:rsidRPr="00BF4F33">
        <w:rPr>
          <w:rFonts w:cs="Times New Roman"/>
          <w:szCs w:val="24"/>
        </w:rPr>
        <w:t xml:space="preserve"> normą, wywodzoną z art. 84 Konstytucji RP, ciężary publiczne powinny być rozkładane w sposób uwzględniający realne zdolności płatnicze podmiotów gospodarczych oraz charakter uzyskiwanych </w:t>
      </w:r>
      <w:r w:rsidR="00FE23B4" w:rsidRPr="00BF4F33">
        <w:rPr>
          <w:rFonts w:cs="Times New Roman"/>
          <w:szCs w:val="24"/>
        </w:rPr>
        <w:t>zysków</w:t>
      </w:r>
      <w:r w:rsidR="006532BE" w:rsidRPr="00BF4F33">
        <w:rPr>
          <w:rFonts w:cs="Times New Roman"/>
          <w:szCs w:val="24"/>
        </w:rPr>
        <w:t xml:space="preserve">. W sytuacji, gdy przychody danego sektora rosną nie wskutek jego wyższej produktywności czy innowacyjności, lecz </w:t>
      </w:r>
      <w:r w:rsidR="00352304" w:rsidRPr="00BF4F33">
        <w:rPr>
          <w:rFonts w:cs="Times New Roman"/>
          <w:szCs w:val="24"/>
        </w:rPr>
        <w:t>stanowią konsekwencje</w:t>
      </w:r>
      <w:r w:rsidR="006532BE" w:rsidRPr="00BF4F33">
        <w:rPr>
          <w:rFonts w:cs="Times New Roman"/>
          <w:szCs w:val="24"/>
        </w:rPr>
        <w:t xml:space="preserve"> zewnętrznych </w:t>
      </w:r>
      <w:r w:rsidR="006532BE" w:rsidRPr="00BF4F33">
        <w:rPr>
          <w:rFonts w:cs="Times New Roman"/>
          <w:szCs w:val="24"/>
        </w:rPr>
        <w:lastRenderedPageBreak/>
        <w:t>zaburzeń o charakterze geopolitycznym, dochody te nabierają charakteru renty ekonomicznej – korzyści majątkowej, która w normalnych warunkach rynkowych by nie wystąpiła.</w:t>
      </w:r>
    </w:p>
    <w:p w14:paraId="69C56A7B" w14:textId="38904AC1" w:rsidR="005264BA" w:rsidRPr="00BF4F33" w:rsidRDefault="006532BE" w:rsidP="00BA1951">
      <w:pPr>
        <w:widowControl/>
        <w:spacing w:before="120"/>
        <w:jc w:val="both"/>
        <w:rPr>
          <w:rFonts w:cs="Times New Roman"/>
          <w:szCs w:val="24"/>
        </w:rPr>
      </w:pPr>
      <w:r w:rsidRPr="00BF4F33">
        <w:rPr>
          <w:rFonts w:cs="Times New Roman"/>
          <w:szCs w:val="24"/>
        </w:rPr>
        <w:t>W takiej sytuacji interwencja ustawodawcy stanowi wyraz odpowiedzialności państwa za zachowanie spójności społecznej i stabilności gospodarczej. Jeśli państwo</w:t>
      </w:r>
      <w:r w:rsidR="00C87F7E" w:rsidRPr="00BF4F33">
        <w:rPr>
          <w:rFonts w:cs="Times New Roman"/>
          <w:szCs w:val="24"/>
        </w:rPr>
        <w:t xml:space="preserve"> za sprawą podjętych działań osłonowych</w:t>
      </w:r>
      <w:r w:rsidRPr="00BF4F33">
        <w:rPr>
          <w:rFonts w:cs="Times New Roman"/>
          <w:szCs w:val="24"/>
        </w:rPr>
        <w:t xml:space="preserve"> angażuje środki publiczne w stabilizację gospodarki</w:t>
      </w:r>
      <w:r w:rsidR="00E87046" w:rsidRPr="00BF4F33">
        <w:rPr>
          <w:rFonts w:cs="Times New Roman"/>
          <w:szCs w:val="24"/>
        </w:rPr>
        <w:t xml:space="preserve"> oraz</w:t>
      </w:r>
      <w:r w:rsidRPr="00BF4F33">
        <w:rPr>
          <w:rFonts w:cs="Times New Roman"/>
          <w:szCs w:val="24"/>
        </w:rPr>
        <w:t xml:space="preserve"> wsparcie</w:t>
      </w:r>
      <w:r w:rsidR="00E87046" w:rsidRPr="00BF4F33">
        <w:rPr>
          <w:rFonts w:cs="Times New Roman"/>
          <w:szCs w:val="24"/>
        </w:rPr>
        <w:t xml:space="preserve"> obywateli</w:t>
      </w:r>
      <w:r w:rsidRPr="00BF4F33">
        <w:rPr>
          <w:rFonts w:cs="Times New Roman"/>
          <w:szCs w:val="24"/>
        </w:rPr>
        <w:t xml:space="preserve"> w</w:t>
      </w:r>
      <w:r w:rsidR="000B72EF" w:rsidRPr="00BF4F33">
        <w:rPr>
          <w:rFonts w:cs="Times New Roman"/>
          <w:szCs w:val="24"/>
        </w:rPr>
        <w:t> </w:t>
      </w:r>
      <w:r w:rsidRPr="00BF4F33">
        <w:rPr>
          <w:rFonts w:cs="Times New Roman"/>
          <w:szCs w:val="24"/>
        </w:rPr>
        <w:t xml:space="preserve">czasie kryzysu, </w:t>
      </w:r>
      <w:r w:rsidR="00E87046" w:rsidRPr="00BF4F33">
        <w:rPr>
          <w:rFonts w:cs="Times New Roman"/>
          <w:szCs w:val="24"/>
        </w:rPr>
        <w:t>względy słuszności oraz solidaryzmu społecznego nakazują, aby</w:t>
      </w:r>
      <w:r w:rsidRPr="00BF4F33">
        <w:rPr>
          <w:rFonts w:cs="Times New Roman"/>
          <w:szCs w:val="24"/>
        </w:rPr>
        <w:t xml:space="preserve"> sektory będące ekonomicznymi beneficjentami </w:t>
      </w:r>
      <w:r w:rsidR="0076794C" w:rsidRPr="00BF4F33">
        <w:rPr>
          <w:rFonts w:cs="Times New Roman"/>
          <w:szCs w:val="24"/>
        </w:rPr>
        <w:t xml:space="preserve">korzyści płynących z </w:t>
      </w:r>
      <w:r w:rsidR="00B72393" w:rsidRPr="00BF4F33">
        <w:rPr>
          <w:rFonts w:cs="Times New Roman"/>
          <w:szCs w:val="24"/>
        </w:rPr>
        <w:t>obecnego</w:t>
      </w:r>
      <w:r w:rsidRPr="00BF4F33">
        <w:rPr>
          <w:rFonts w:cs="Times New Roman"/>
          <w:szCs w:val="24"/>
        </w:rPr>
        <w:t xml:space="preserve"> kryzysu współuczestniczyły w kosztach</w:t>
      </w:r>
      <w:r w:rsidR="00052C8D" w:rsidRPr="00BF4F33">
        <w:rPr>
          <w:rFonts w:cs="Times New Roman"/>
          <w:szCs w:val="24"/>
        </w:rPr>
        <w:t xml:space="preserve"> działań podjętych w celu złagodzenia jego ujemnych następstw</w:t>
      </w:r>
      <w:r w:rsidRPr="00BF4F33">
        <w:rPr>
          <w:rFonts w:cs="Times New Roman"/>
          <w:szCs w:val="24"/>
        </w:rPr>
        <w:t>.</w:t>
      </w:r>
    </w:p>
    <w:p w14:paraId="739E2BB0" w14:textId="7F743905" w:rsidR="005374BD" w:rsidRPr="00BF4F33" w:rsidRDefault="00E87046" w:rsidP="00BA1951">
      <w:pPr>
        <w:widowControl/>
        <w:spacing w:before="120"/>
        <w:jc w:val="both"/>
        <w:rPr>
          <w:rFonts w:cs="Times New Roman"/>
          <w:szCs w:val="24"/>
        </w:rPr>
      </w:pPr>
      <w:r w:rsidRPr="00BF4F33">
        <w:rPr>
          <w:rFonts w:cs="Times New Roman"/>
          <w:szCs w:val="24"/>
        </w:rPr>
        <w:t>Projektowana regulacja wpisuje się również w</w:t>
      </w:r>
      <w:r w:rsidR="00AD4987" w:rsidRPr="00BF4F33">
        <w:rPr>
          <w:rFonts w:cs="Times New Roman"/>
          <w:szCs w:val="24"/>
        </w:rPr>
        <w:t xml:space="preserve"> dotychczasową</w:t>
      </w:r>
      <w:r w:rsidRPr="00BF4F33">
        <w:rPr>
          <w:rFonts w:cs="Times New Roman"/>
          <w:szCs w:val="24"/>
        </w:rPr>
        <w:t xml:space="preserve"> praktykę międzynarodową. </w:t>
      </w:r>
      <w:r w:rsidR="00F04F20" w:rsidRPr="00BF4F33">
        <w:rPr>
          <w:rFonts w:cs="Times New Roman"/>
          <w:szCs w:val="24"/>
        </w:rPr>
        <w:t>Podobne</w:t>
      </w:r>
      <w:r w:rsidRPr="00BF4F33">
        <w:rPr>
          <w:rFonts w:cs="Times New Roman"/>
          <w:szCs w:val="24"/>
        </w:rPr>
        <w:t xml:space="preserve"> instrumenty były stosowane przez państwa członkowskie Unii Europejskiej w latach 2022–2023 w odpowiedzi na nadzwyczajne zyski sektora energetycznego, osiągane w</w:t>
      </w:r>
      <w:r w:rsidR="000B72EF" w:rsidRPr="00BF4F33">
        <w:rPr>
          <w:rFonts w:cs="Times New Roman"/>
          <w:szCs w:val="24"/>
        </w:rPr>
        <w:t> </w:t>
      </w:r>
      <w:r w:rsidRPr="00BF4F33">
        <w:rPr>
          <w:rFonts w:cs="Times New Roman"/>
          <w:szCs w:val="24"/>
        </w:rPr>
        <w:t xml:space="preserve">następstwie kryzysu wywołanego </w:t>
      </w:r>
      <w:r w:rsidR="00326A19" w:rsidRPr="00BF4F33">
        <w:rPr>
          <w:rFonts w:cs="Times New Roman"/>
          <w:szCs w:val="24"/>
        </w:rPr>
        <w:t>napaścią</w:t>
      </w:r>
      <w:r w:rsidRPr="00BF4F33">
        <w:rPr>
          <w:rFonts w:cs="Times New Roman"/>
          <w:szCs w:val="24"/>
        </w:rPr>
        <w:t xml:space="preserve"> Rosji na Ukrainę. Doświadczenia te potwierdzają, że czasowe opodatkowanie zysków nadzwyczajnych może stanowić skuteczne narzędzie stabilizacji społeczno-gospodarczej bez negatywnego wpływu na długoterminowe decyzje inwestycyjne przedsiębiorstw</w:t>
      </w:r>
      <w:r w:rsidR="00A3474D" w:rsidRPr="00BF4F33">
        <w:rPr>
          <w:rFonts w:cs="Times New Roman"/>
          <w:szCs w:val="24"/>
        </w:rPr>
        <w:t>. Proponowane rozwiązanie stanowi logiczną kontynuację tej praktyki regulacyjnej, dostosowaną do specyfiki kryzysu bliskowschodniego z 2026 r.</w:t>
      </w:r>
      <w:r w:rsidR="00F04F20" w:rsidRPr="00BF4F33">
        <w:rPr>
          <w:rFonts w:cs="Times New Roman"/>
          <w:szCs w:val="24"/>
        </w:rPr>
        <w:t xml:space="preserve"> </w:t>
      </w:r>
      <w:r w:rsidR="00A3474D" w:rsidRPr="00BF4F33">
        <w:rPr>
          <w:rFonts w:cs="Times New Roman"/>
          <w:szCs w:val="24"/>
        </w:rPr>
        <w:t>Środki pozyskane w ramach rozliczenia podatku od nadzwyczajnych zysków zasilą budżet państwa i</w:t>
      </w:r>
      <w:r w:rsidR="000B72EF" w:rsidRPr="00BF4F33">
        <w:rPr>
          <w:rFonts w:cs="Times New Roman"/>
          <w:szCs w:val="24"/>
        </w:rPr>
        <w:t> </w:t>
      </w:r>
      <w:r w:rsidR="00F04F20" w:rsidRPr="00BF4F33">
        <w:rPr>
          <w:rFonts w:cs="Times New Roman"/>
          <w:szCs w:val="24"/>
        </w:rPr>
        <w:t xml:space="preserve">tym samym </w:t>
      </w:r>
      <w:r w:rsidR="00E902AC" w:rsidRPr="00BF4F33">
        <w:rPr>
          <w:rFonts w:cs="Times New Roman"/>
          <w:szCs w:val="24"/>
        </w:rPr>
        <w:t xml:space="preserve">ułatwią </w:t>
      </w:r>
      <w:r w:rsidR="00F04F20" w:rsidRPr="00BF4F33">
        <w:rPr>
          <w:rFonts w:cs="Times New Roman"/>
          <w:szCs w:val="24"/>
        </w:rPr>
        <w:t>prowadzenie</w:t>
      </w:r>
      <w:r w:rsidR="00A3474D" w:rsidRPr="00BF4F33">
        <w:rPr>
          <w:rFonts w:cs="Times New Roman"/>
          <w:szCs w:val="24"/>
        </w:rPr>
        <w:t xml:space="preserve"> działań osłonowych</w:t>
      </w:r>
      <w:r w:rsidR="0076794C" w:rsidRPr="00BF4F33">
        <w:rPr>
          <w:rFonts w:cs="Times New Roman"/>
          <w:szCs w:val="24"/>
        </w:rPr>
        <w:t xml:space="preserve"> istotnie obciążających budżet państwa</w:t>
      </w:r>
      <w:r w:rsidR="00F04F20" w:rsidRPr="00BF4F33">
        <w:rPr>
          <w:rFonts w:cs="Times New Roman"/>
          <w:szCs w:val="24"/>
        </w:rPr>
        <w:t>.</w:t>
      </w:r>
      <w:r w:rsidR="008A078F" w:rsidRPr="00BF4F33">
        <w:rPr>
          <w:rFonts w:cs="Times New Roman"/>
          <w:szCs w:val="24"/>
        </w:rPr>
        <w:t xml:space="preserve"> Należy więc uznać, iż</w:t>
      </w:r>
      <w:r w:rsidR="00F04F20" w:rsidRPr="00BF4F33">
        <w:rPr>
          <w:rFonts w:cs="Times New Roman"/>
          <w:szCs w:val="24"/>
        </w:rPr>
        <w:t xml:space="preserve"> </w:t>
      </w:r>
      <w:r w:rsidR="008A078F" w:rsidRPr="00BF4F33">
        <w:rPr>
          <w:rFonts w:cs="Times New Roman"/>
          <w:szCs w:val="24"/>
        </w:rPr>
        <w:t>p</w:t>
      </w:r>
      <w:r w:rsidR="00F04F20" w:rsidRPr="00BF4F33">
        <w:rPr>
          <w:rFonts w:cs="Times New Roman"/>
          <w:szCs w:val="24"/>
        </w:rPr>
        <w:t xml:space="preserve">roponowana </w:t>
      </w:r>
      <w:r w:rsidR="00A3474D" w:rsidRPr="00BF4F33">
        <w:rPr>
          <w:rFonts w:cs="Times New Roman"/>
          <w:szCs w:val="24"/>
        </w:rPr>
        <w:t>regulacja realizuje funkcję nie tylko fiskalną, lecz przede wszystkim redystrybucyjną i stabilizacyjną</w:t>
      </w:r>
      <w:r w:rsidR="00F04F20" w:rsidRPr="00BF4F33">
        <w:rPr>
          <w:rFonts w:cs="Times New Roman"/>
          <w:szCs w:val="24"/>
        </w:rPr>
        <w:t xml:space="preserve">. </w:t>
      </w:r>
    </w:p>
    <w:p w14:paraId="2E5FC099" w14:textId="3AA5D353" w:rsidR="00A3474D" w:rsidRPr="00BF4F33" w:rsidRDefault="005374BD" w:rsidP="00BA1951">
      <w:pPr>
        <w:widowControl/>
        <w:spacing w:before="120" w:after="120"/>
        <w:rPr>
          <w:rFonts w:eastAsia="Times New Roman" w:cs="Times New Roman"/>
          <w:szCs w:val="24"/>
        </w:rPr>
      </w:pPr>
      <w:r w:rsidRPr="00BF4F33">
        <w:rPr>
          <w:rFonts w:cs="Times New Roman"/>
          <w:b/>
          <w:bCs/>
          <w:szCs w:val="24"/>
        </w:rPr>
        <w:t>III. Mechanizm opodatkowania</w:t>
      </w:r>
    </w:p>
    <w:p w14:paraId="21BBD211" w14:textId="0ABC5CD2" w:rsidR="00A6569E" w:rsidRPr="00BF4F33" w:rsidRDefault="00A3474D" w:rsidP="00BA1951">
      <w:pPr>
        <w:widowControl/>
        <w:spacing w:before="120"/>
        <w:jc w:val="both"/>
        <w:rPr>
          <w:rFonts w:eastAsia="Times New Roman" w:cs="Times New Roman"/>
          <w:szCs w:val="24"/>
        </w:rPr>
      </w:pPr>
      <w:r w:rsidRPr="00BF4F33">
        <w:rPr>
          <w:rFonts w:eastAsia="Times New Roman" w:cs="Times New Roman"/>
          <w:szCs w:val="24"/>
        </w:rPr>
        <w:t>Kluczową cechą projektowanej daniny</w:t>
      </w:r>
      <w:r w:rsidR="00936A1B" w:rsidRPr="00BF4F33">
        <w:rPr>
          <w:rFonts w:eastAsia="Times New Roman" w:cs="Times New Roman"/>
          <w:szCs w:val="24"/>
        </w:rPr>
        <w:t xml:space="preserve"> o charakterze epizodycznym (obejmującej okres od 1</w:t>
      </w:r>
      <w:r w:rsidR="000B72EF" w:rsidRPr="00BF4F33">
        <w:rPr>
          <w:rFonts w:eastAsia="Times New Roman" w:cs="Times New Roman"/>
          <w:szCs w:val="24"/>
        </w:rPr>
        <w:t> </w:t>
      </w:r>
      <w:r w:rsidR="00936A1B" w:rsidRPr="00BF4F33">
        <w:rPr>
          <w:rFonts w:eastAsia="Times New Roman" w:cs="Times New Roman"/>
          <w:szCs w:val="24"/>
        </w:rPr>
        <w:t xml:space="preserve">marca do 31 grudnia </w:t>
      </w:r>
      <w:r w:rsidR="00792F77" w:rsidRPr="00BF4F33">
        <w:rPr>
          <w:rFonts w:eastAsia="Times New Roman" w:cs="Times New Roman"/>
          <w:szCs w:val="24"/>
        </w:rPr>
        <w:t>2026</w:t>
      </w:r>
      <w:r w:rsidR="00BF4F33" w:rsidRPr="00BF4F33">
        <w:rPr>
          <w:rFonts w:eastAsia="Times New Roman" w:cs="Times New Roman"/>
          <w:szCs w:val="24"/>
        </w:rPr>
        <w:t xml:space="preserve"> </w:t>
      </w:r>
      <w:r w:rsidR="00792F77" w:rsidRPr="00BF4F33">
        <w:rPr>
          <w:rFonts w:eastAsia="Times New Roman" w:cs="Times New Roman"/>
          <w:szCs w:val="24"/>
        </w:rPr>
        <w:t>r</w:t>
      </w:r>
      <w:r w:rsidR="00C87F7E" w:rsidRPr="00BF4F33">
        <w:rPr>
          <w:rFonts w:eastAsia="Times New Roman" w:cs="Times New Roman"/>
          <w:szCs w:val="24"/>
        </w:rPr>
        <w:t>.</w:t>
      </w:r>
      <w:r w:rsidR="00936A1B" w:rsidRPr="00BF4F33">
        <w:rPr>
          <w:rFonts w:eastAsia="Times New Roman" w:cs="Times New Roman"/>
          <w:szCs w:val="24"/>
        </w:rPr>
        <w:t>)</w:t>
      </w:r>
      <w:r w:rsidRPr="00BF4F33">
        <w:rPr>
          <w:rFonts w:eastAsia="Times New Roman" w:cs="Times New Roman"/>
          <w:szCs w:val="24"/>
        </w:rPr>
        <w:t xml:space="preserve"> jest jej precyzyjne ukierunkowanie wyłącznie na tę część zysków, która ma charakter nadzwyczajny – tj. przekracza marżę, jaką podatnik osiągałby w</w:t>
      </w:r>
      <w:r w:rsidR="00AD4987" w:rsidRPr="00BF4F33">
        <w:rPr>
          <w:rFonts w:eastAsia="Times New Roman" w:cs="Times New Roman"/>
          <w:szCs w:val="24"/>
        </w:rPr>
        <w:t> </w:t>
      </w:r>
      <w:r w:rsidRPr="00BF4F33">
        <w:rPr>
          <w:rFonts w:eastAsia="Times New Roman" w:cs="Times New Roman"/>
          <w:szCs w:val="24"/>
        </w:rPr>
        <w:t>normalnych warunkach rynkowych. Podstawę opodatkowania stanowi</w:t>
      </w:r>
      <w:r w:rsidR="00936A1B" w:rsidRPr="00BF4F33">
        <w:rPr>
          <w:rFonts w:eastAsia="Times New Roman" w:cs="Times New Roman"/>
          <w:szCs w:val="24"/>
        </w:rPr>
        <w:t>ć będzie</w:t>
      </w:r>
      <w:r w:rsidRPr="00BF4F33">
        <w:rPr>
          <w:rFonts w:eastAsia="Times New Roman" w:cs="Times New Roman"/>
          <w:szCs w:val="24"/>
        </w:rPr>
        <w:t xml:space="preserve"> nadwyżka przychodów faktycznie osiągniętych ponad przychody</w:t>
      </w:r>
      <w:r w:rsidR="00A21E41" w:rsidRPr="00BF4F33">
        <w:rPr>
          <w:rFonts w:eastAsia="Times New Roman" w:cs="Times New Roman"/>
          <w:szCs w:val="24"/>
        </w:rPr>
        <w:t xml:space="preserve"> hipotetyczne</w:t>
      </w:r>
      <w:r w:rsidRPr="00BF4F33">
        <w:rPr>
          <w:rFonts w:eastAsia="Times New Roman" w:cs="Times New Roman"/>
          <w:szCs w:val="24"/>
        </w:rPr>
        <w:t xml:space="preserve">, które podatnik uzyskałby, gdyby stosował </w:t>
      </w:r>
      <w:r w:rsidR="00936A1B" w:rsidRPr="00BF4F33">
        <w:rPr>
          <w:rFonts w:eastAsia="Times New Roman" w:cs="Times New Roman"/>
          <w:szCs w:val="24"/>
        </w:rPr>
        <w:t xml:space="preserve">średnią </w:t>
      </w:r>
      <w:r w:rsidRPr="00BF4F33">
        <w:rPr>
          <w:rFonts w:eastAsia="Times New Roman" w:cs="Times New Roman"/>
          <w:szCs w:val="24"/>
        </w:rPr>
        <w:t xml:space="preserve">marżę </w:t>
      </w:r>
      <w:r w:rsidR="00BB2CAC" w:rsidRPr="00BF4F33">
        <w:rPr>
          <w:rFonts w:eastAsia="Times New Roman" w:cs="Times New Roman"/>
          <w:szCs w:val="24"/>
        </w:rPr>
        <w:t>sprzedaży (ŚMS)</w:t>
      </w:r>
      <w:r w:rsidR="00AD4987" w:rsidRPr="00BF4F33">
        <w:rPr>
          <w:rFonts w:eastAsia="Times New Roman" w:cs="Times New Roman"/>
          <w:szCs w:val="24"/>
        </w:rPr>
        <w:t xml:space="preserve"> z roku 2025</w:t>
      </w:r>
      <w:r w:rsidR="00CD7FFE" w:rsidRPr="00BF4F33">
        <w:rPr>
          <w:rFonts w:eastAsia="Times New Roman" w:cs="Times New Roman"/>
          <w:szCs w:val="24"/>
        </w:rPr>
        <w:t>,</w:t>
      </w:r>
      <w:r w:rsidRPr="00BF4F33">
        <w:rPr>
          <w:rFonts w:eastAsia="Times New Roman" w:cs="Times New Roman"/>
          <w:szCs w:val="24"/>
        </w:rPr>
        <w:t xml:space="preserve"> powiększoną o 20%. </w:t>
      </w:r>
    </w:p>
    <w:p w14:paraId="3D768E13" w14:textId="03FB2E37" w:rsidR="00A6569E" w:rsidRPr="00BF4F33" w:rsidRDefault="00A6569E" w:rsidP="00BA1951">
      <w:pPr>
        <w:widowControl/>
        <w:spacing w:before="120"/>
        <w:jc w:val="both"/>
        <w:rPr>
          <w:rFonts w:eastAsia="Times New Roman" w:cs="Times New Roman"/>
          <w:szCs w:val="24"/>
        </w:rPr>
      </w:pPr>
      <w:r w:rsidRPr="00BF4F33">
        <w:rPr>
          <w:rFonts w:eastAsia="Times New Roman" w:cs="Times New Roman"/>
          <w:szCs w:val="24"/>
        </w:rPr>
        <w:t xml:space="preserve">Przychody hipotetyczne to kategoria wyliczona na bazie marży z roku 2025, jednak przy uwzględnieniu rzeczywistej (aktualnej) wysokości kosztów ponoszonych przez podatnika. W konsekwencji wzrost, czy też spadek ich wysokości między okresem opodatkowania a rokiem referencyjnym pozostaje neutralny dla przyjętej formuły obliczenia podstawy opodatkowania bazującej na marży ze sprzedaży paliw. Biorąc zatem pod uwagę, że bazą do </w:t>
      </w:r>
      <w:r w:rsidRPr="00BF4F33">
        <w:rPr>
          <w:rFonts w:eastAsia="Times New Roman" w:cs="Times New Roman"/>
          <w:szCs w:val="24"/>
        </w:rPr>
        <w:lastRenderedPageBreak/>
        <w:t>obliczenia przychodów hipotetycznych są koszty faktyczne (bieżące)</w:t>
      </w:r>
      <w:r w:rsidR="002A1C0B">
        <w:rPr>
          <w:rFonts w:eastAsia="Times New Roman" w:cs="Times New Roman"/>
          <w:szCs w:val="24"/>
        </w:rPr>
        <w:t>,</w:t>
      </w:r>
      <w:r w:rsidRPr="00BF4F33">
        <w:rPr>
          <w:rFonts w:eastAsia="Times New Roman" w:cs="Times New Roman"/>
          <w:szCs w:val="24"/>
        </w:rPr>
        <w:t xml:space="preserve"> wspominana nadwyżka przychodów faktycznych ponad przychody hipotetyczne stanowi de facto nadzwyczajny zysk (kreowany poprzez stosowanie wyższych marż w okresie, którego obejmuje projektowana ustawa).</w:t>
      </w:r>
    </w:p>
    <w:p w14:paraId="009319A9" w14:textId="2A5BE062" w:rsidR="00936A1B" w:rsidRPr="00BF4F33" w:rsidRDefault="00A3474D" w:rsidP="00BA1951">
      <w:pPr>
        <w:widowControl/>
        <w:spacing w:before="120"/>
        <w:jc w:val="both"/>
        <w:rPr>
          <w:rFonts w:eastAsia="Times New Roman" w:cs="Times New Roman"/>
          <w:szCs w:val="24"/>
        </w:rPr>
      </w:pPr>
      <w:r w:rsidRPr="00BF4F33">
        <w:rPr>
          <w:rFonts w:eastAsia="Times New Roman" w:cs="Times New Roman"/>
          <w:szCs w:val="24"/>
        </w:rPr>
        <w:t>Przyjęcie</w:t>
      </w:r>
      <w:r w:rsidR="00AD4987" w:rsidRPr="00BF4F33">
        <w:rPr>
          <w:rFonts w:eastAsia="Times New Roman" w:cs="Times New Roman"/>
          <w:szCs w:val="24"/>
        </w:rPr>
        <w:t xml:space="preserve"> </w:t>
      </w:r>
      <w:r w:rsidR="00750789" w:rsidRPr="00BF4F33">
        <w:rPr>
          <w:rFonts w:eastAsia="Times New Roman" w:cs="Times New Roman"/>
          <w:szCs w:val="24"/>
        </w:rPr>
        <w:t>roku</w:t>
      </w:r>
      <w:r w:rsidRPr="00BF4F33">
        <w:rPr>
          <w:rFonts w:eastAsia="Times New Roman" w:cs="Times New Roman"/>
          <w:szCs w:val="24"/>
        </w:rPr>
        <w:t xml:space="preserve"> </w:t>
      </w:r>
      <w:r w:rsidR="00AD4987" w:rsidRPr="00BF4F33">
        <w:rPr>
          <w:rFonts w:eastAsia="Times New Roman" w:cs="Times New Roman"/>
          <w:szCs w:val="24"/>
        </w:rPr>
        <w:t xml:space="preserve">2025 </w:t>
      </w:r>
      <w:r w:rsidRPr="00BF4F33">
        <w:rPr>
          <w:rFonts w:eastAsia="Times New Roman" w:cs="Times New Roman"/>
          <w:szCs w:val="24"/>
        </w:rPr>
        <w:t>jako</w:t>
      </w:r>
      <w:r w:rsidR="00CD7FFE" w:rsidRPr="00BF4F33">
        <w:rPr>
          <w:rFonts w:eastAsia="Times New Roman" w:cs="Times New Roman"/>
          <w:szCs w:val="24"/>
        </w:rPr>
        <w:t xml:space="preserve"> </w:t>
      </w:r>
      <w:r w:rsidRPr="00BF4F33">
        <w:rPr>
          <w:rFonts w:eastAsia="Times New Roman" w:cs="Times New Roman"/>
          <w:szCs w:val="24"/>
        </w:rPr>
        <w:t xml:space="preserve">okresu referencyjnego zapewnia obiektywny punkt odniesienia, odzwierciedlający rzeczywistą, historyczną zdolność </w:t>
      </w:r>
      <w:r w:rsidR="008A078F" w:rsidRPr="00BF4F33">
        <w:rPr>
          <w:rFonts w:eastAsia="Times New Roman" w:cs="Times New Roman"/>
          <w:szCs w:val="24"/>
        </w:rPr>
        <w:t>do generowania zysków danego</w:t>
      </w:r>
      <w:r w:rsidRPr="00BF4F33">
        <w:rPr>
          <w:rFonts w:eastAsia="Times New Roman" w:cs="Times New Roman"/>
          <w:szCs w:val="24"/>
        </w:rPr>
        <w:t xml:space="preserve"> podatnika.</w:t>
      </w:r>
      <w:r w:rsidR="00936A1B" w:rsidRPr="00BF4F33">
        <w:rPr>
          <w:rFonts w:eastAsia="Times New Roman" w:cs="Times New Roman"/>
          <w:szCs w:val="24"/>
        </w:rPr>
        <w:t xml:space="preserve"> Jest to ponadto jeden z nielicznych </w:t>
      </w:r>
      <w:r w:rsidR="00580E5B" w:rsidRPr="00BF4F33">
        <w:rPr>
          <w:rFonts w:eastAsia="Times New Roman" w:cs="Times New Roman"/>
          <w:szCs w:val="24"/>
        </w:rPr>
        <w:t xml:space="preserve">na przestrzeni ostatnich </w:t>
      </w:r>
      <w:r w:rsidR="00936A1B" w:rsidRPr="00BF4F33">
        <w:rPr>
          <w:rFonts w:eastAsia="Times New Roman" w:cs="Times New Roman"/>
          <w:szCs w:val="24"/>
        </w:rPr>
        <w:t>lat</w:t>
      </w:r>
      <w:r w:rsidR="00580E5B" w:rsidRPr="00BF4F33">
        <w:rPr>
          <w:rFonts w:eastAsia="Times New Roman" w:cs="Times New Roman"/>
          <w:szCs w:val="24"/>
        </w:rPr>
        <w:t xml:space="preserve"> okresów,</w:t>
      </w:r>
      <w:r w:rsidR="00936A1B" w:rsidRPr="00BF4F33">
        <w:rPr>
          <w:rFonts w:eastAsia="Times New Roman" w:cs="Times New Roman"/>
          <w:szCs w:val="24"/>
        </w:rPr>
        <w:t xml:space="preserve"> w którym nie doszło do wystąpienia istotnych zdarzeń nadzwyczajnych, rzutujących „nienaturalnie” na poziom stosowanych </w:t>
      </w:r>
      <w:r w:rsidR="00580E5B" w:rsidRPr="00BF4F33">
        <w:rPr>
          <w:rFonts w:eastAsia="Times New Roman" w:cs="Times New Roman"/>
          <w:szCs w:val="24"/>
        </w:rPr>
        <w:t>marż</w:t>
      </w:r>
      <w:r w:rsidR="00936A1B" w:rsidRPr="00BF4F33">
        <w:rPr>
          <w:rFonts w:eastAsia="Times New Roman" w:cs="Times New Roman"/>
          <w:szCs w:val="24"/>
        </w:rPr>
        <w:t>.</w:t>
      </w:r>
    </w:p>
    <w:p w14:paraId="1F383B8F" w14:textId="7DAA667C" w:rsidR="00A3474D" w:rsidRPr="00BF4F33" w:rsidRDefault="00A3474D" w:rsidP="00BA1951">
      <w:pPr>
        <w:widowControl/>
        <w:spacing w:before="120"/>
        <w:jc w:val="both"/>
        <w:rPr>
          <w:rFonts w:eastAsia="Times New Roman" w:cs="Times New Roman"/>
          <w:szCs w:val="24"/>
        </w:rPr>
      </w:pPr>
      <w:r w:rsidRPr="00BF4F33">
        <w:rPr>
          <w:rFonts w:eastAsia="Times New Roman" w:cs="Times New Roman"/>
          <w:szCs w:val="24"/>
        </w:rPr>
        <w:t xml:space="preserve">Korekta </w:t>
      </w:r>
      <w:r w:rsidR="00326A19" w:rsidRPr="00BF4F33">
        <w:rPr>
          <w:rFonts w:eastAsia="Times New Roman" w:cs="Times New Roman"/>
          <w:szCs w:val="24"/>
        </w:rPr>
        <w:t xml:space="preserve">tak ustalonej średniej marży sprzedaży </w:t>
      </w:r>
      <w:r w:rsidRPr="00BF4F33">
        <w:rPr>
          <w:rFonts w:eastAsia="Times New Roman" w:cs="Times New Roman"/>
          <w:szCs w:val="24"/>
        </w:rPr>
        <w:t xml:space="preserve">o 20% stanowi dodatkowy </w:t>
      </w:r>
      <w:r w:rsidR="00B157F6" w:rsidRPr="00BF4F33">
        <w:rPr>
          <w:rFonts w:eastAsia="Times New Roman" w:cs="Times New Roman"/>
          <w:szCs w:val="24"/>
        </w:rPr>
        <w:t>instrument gwarancyjny</w:t>
      </w:r>
      <w:r w:rsidRPr="00BF4F33">
        <w:rPr>
          <w:rFonts w:eastAsia="Times New Roman" w:cs="Times New Roman"/>
          <w:szCs w:val="24"/>
        </w:rPr>
        <w:t xml:space="preserve">, który chroni podatników przed opodatkowaniem zysków wynikających ze zwykłych wahań rynkowych lub organicznego wzrostu działalności. </w:t>
      </w:r>
      <w:r w:rsidR="00326A19" w:rsidRPr="00BF4F33">
        <w:rPr>
          <w:rFonts w:eastAsia="Times New Roman" w:cs="Times New Roman"/>
          <w:szCs w:val="24"/>
        </w:rPr>
        <w:t>Tym samym o</w:t>
      </w:r>
      <w:r w:rsidRPr="00BF4F33">
        <w:rPr>
          <w:rFonts w:eastAsia="Times New Roman" w:cs="Times New Roman"/>
          <w:szCs w:val="24"/>
        </w:rPr>
        <w:t>podatkowan</w:t>
      </w:r>
      <w:r w:rsidR="002A11A0" w:rsidRPr="00BF4F33">
        <w:rPr>
          <w:rFonts w:eastAsia="Times New Roman" w:cs="Times New Roman"/>
          <w:szCs w:val="24"/>
        </w:rPr>
        <w:t xml:space="preserve">iu podlegać będzie </w:t>
      </w:r>
      <w:r w:rsidRPr="00BF4F33">
        <w:rPr>
          <w:rFonts w:eastAsia="Times New Roman" w:cs="Times New Roman"/>
          <w:szCs w:val="24"/>
        </w:rPr>
        <w:t>wyłącznie nadwyżka ponad ten próg –</w:t>
      </w:r>
      <w:r w:rsidR="002A11A0" w:rsidRPr="00BF4F33">
        <w:rPr>
          <w:rFonts w:eastAsia="Times New Roman" w:cs="Times New Roman"/>
          <w:szCs w:val="24"/>
        </w:rPr>
        <w:t xml:space="preserve"> identyfikowana jako </w:t>
      </w:r>
      <w:r w:rsidRPr="00BF4F33">
        <w:rPr>
          <w:rFonts w:eastAsia="Times New Roman" w:cs="Times New Roman"/>
          <w:szCs w:val="24"/>
        </w:rPr>
        <w:t xml:space="preserve">nadzwyczajny </w:t>
      </w:r>
      <w:r w:rsidR="002A11A0" w:rsidRPr="00BF4F33">
        <w:rPr>
          <w:rFonts w:eastAsia="Times New Roman" w:cs="Times New Roman"/>
          <w:szCs w:val="24"/>
        </w:rPr>
        <w:t xml:space="preserve">zysk </w:t>
      </w:r>
      <w:r w:rsidRPr="00BF4F33">
        <w:rPr>
          <w:rFonts w:eastAsia="Times New Roman" w:cs="Times New Roman"/>
          <w:szCs w:val="24"/>
        </w:rPr>
        <w:t>wynikający ze wstrząsu podażowego będącego skutkiem konfliktu zbrojnego</w:t>
      </w:r>
      <w:r w:rsidR="00936A1B" w:rsidRPr="00BF4F33">
        <w:rPr>
          <w:rFonts w:eastAsia="Times New Roman" w:cs="Times New Roman"/>
          <w:szCs w:val="24"/>
        </w:rPr>
        <w:t xml:space="preserve"> na Bliskim Wschodzie</w:t>
      </w:r>
      <w:r w:rsidRPr="00BF4F33">
        <w:rPr>
          <w:rFonts w:eastAsia="Times New Roman" w:cs="Times New Roman"/>
          <w:szCs w:val="24"/>
        </w:rPr>
        <w:t>.</w:t>
      </w:r>
    </w:p>
    <w:p w14:paraId="60F45002" w14:textId="35399C68" w:rsidR="009D1C08" w:rsidRPr="00BF4F33" w:rsidRDefault="00C5549D" w:rsidP="00BA1951">
      <w:pPr>
        <w:widowControl/>
        <w:spacing w:before="120"/>
        <w:jc w:val="both"/>
        <w:rPr>
          <w:rFonts w:eastAsia="Times New Roman" w:cs="Times New Roman"/>
          <w:szCs w:val="24"/>
        </w:rPr>
      </w:pPr>
      <w:r w:rsidRPr="00BF4F33">
        <w:rPr>
          <w:rFonts w:eastAsia="Times New Roman" w:cs="Times New Roman"/>
          <w:szCs w:val="24"/>
        </w:rPr>
        <w:t xml:space="preserve">Obowiązek </w:t>
      </w:r>
      <w:r w:rsidR="001A3BD9" w:rsidRPr="00BF4F33">
        <w:rPr>
          <w:rFonts w:eastAsia="Times New Roman" w:cs="Times New Roman"/>
          <w:szCs w:val="24"/>
        </w:rPr>
        <w:t>zapłaty podatku</w:t>
      </w:r>
      <w:r w:rsidRPr="00BF4F33">
        <w:rPr>
          <w:rFonts w:eastAsia="Times New Roman" w:cs="Times New Roman"/>
          <w:szCs w:val="24"/>
        </w:rPr>
        <w:t xml:space="preserve"> powsta</w:t>
      </w:r>
      <w:r w:rsidR="00326A19" w:rsidRPr="00BF4F33">
        <w:rPr>
          <w:rFonts w:eastAsia="Times New Roman" w:cs="Times New Roman"/>
          <w:szCs w:val="24"/>
        </w:rPr>
        <w:t>nie</w:t>
      </w:r>
      <w:r w:rsidRPr="00BF4F33">
        <w:rPr>
          <w:rFonts w:eastAsia="Times New Roman" w:cs="Times New Roman"/>
          <w:szCs w:val="24"/>
        </w:rPr>
        <w:t xml:space="preserve">, gdy przychody faktycznie osiągnięte w </w:t>
      </w:r>
      <w:r w:rsidR="00C377E4" w:rsidRPr="00BF4F33">
        <w:rPr>
          <w:rFonts w:eastAsia="Times New Roman" w:cs="Times New Roman"/>
          <w:szCs w:val="24"/>
        </w:rPr>
        <w:t>okresie rozliczeniowym</w:t>
      </w:r>
      <w:r w:rsidRPr="00BF4F33">
        <w:rPr>
          <w:rFonts w:eastAsia="Times New Roman" w:cs="Times New Roman"/>
          <w:szCs w:val="24"/>
        </w:rPr>
        <w:t xml:space="preserve"> przewyż</w:t>
      </w:r>
      <w:r w:rsidR="00326A19" w:rsidRPr="00BF4F33">
        <w:rPr>
          <w:rFonts w:eastAsia="Times New Roman" w:cs="Times New Roman"/>
          <w:szCs w:val="24"/>
        </w:rPr>
        <w:t>szą</w:t>
      </w:r>
      <w:r w:rsidRPr="00BF4F33">
        <w:rPr>
          <w:rFonts w:eastAsia="Times New Roman" w:cs="Times New Roman"/>
          <w:szCs w:val="24"/>
        </w:rPr>
        <w:t xml:space="preserve"> przychody hipotetyczne obliczone przy zastosowaniu marży referencyjnej</w:t>
      </w:r>
      <w:r w:rsidR="00C53E50" w:rsidRPr="00BF4F33">
        <w:rPr>
          <w:rFonts w:eastAsia="Times New Roman" w:cs="Times New Roman"/>
          <w:szCs w:val="24"/>
        </w:rPr>
        <w:t>. Mechanizm ten zapobiega opodatkowaniu podmiotów, które – mimo prowadzenia działalności</w:t>
      </w:r>
      <w:r w:rsidR="008A078F" w:rsidRPr="00BF4F33">
        <w:rPr>
          <w:rFonts w:eastAsia="Times New Roman" w:cs="Times New Roman"/>
          <w:szCs w:val="24"/>
        </w:rPr>
        <w:t xml:space="preserve"> w obszarach objętych zakresem przedmiotowym projektowanej ustawy </w:t>
      </w:r>
      <w:r w:rsidR="00C53E50" w:rsidRPr="00BF4F33">
        <w:rPr>
          <w:rFonts w:eastAsia="Times New Roman" w:cs="Times New Roman"/>
          <w:szCs w:val="24"/>
        </w:rPr>
        <w:t xml:space="preserve">– nie osiągnęły </w:t>
      </w:r>
      <w:r w:rsidR="009D1C08" w:rsidRPr="00BF4F33">
        <w:rPr>
          <w:rFonts w:eastAsia="Times New Roman" w:cs="Times New Roman"/>
          <w:szCs w:val="24"/>
        </w:rPr>
        <w:t xml:space="preserve">faktycznie </w:t>
      </w:r>
      <w:r w:rsidR="00C53E50" w:rsidRPr="00BF4F33">
        <w:rPr>
          <w:rFonts w:eastAsia="Times New Roman" w:cs="Times New Roman"/>
          <w:szCs w:val="24"/>
        </w:rPr>
        <w:t>przychodów o</w:t>
      </w:r>
      <w:r w:rsidR="008A078F" w:rsidRPr="00BF4F33">
        <w:rPr>
          <w:rFonts w:eastAsia="Times New Roman" w:cs="Times New Roman"/>
          <w:szCs w:val="24"/>
        </w:rPr>
        <w:t> </w:t>
      </w:r>
      <w:r w:rsidR="00C53E50" w:rsidRPr="00BF4F33">
        <w:rPr>
          <w:rFonts w:eastAsia="Times New Roman" w:cs="Times New Roman"/>
          <w:szCs w:val="24"/>
        </w:rPr>
        <w:t>nadzwyczajnym charakterze.</w:t>
      </w:r>
      <w:r w:rsidRPr="00BF4F33">
        <w:rPr>
          <w:rFonts w:eastAsia="Times New Roman" w:cs="Times New Roman"/>
          <w:szCs w:val="24"/>
        </w:rPr>
        <w:t xml:space="preserve"> Zaliczki na podatek </w:t>
      </w:r>
      <w:r w:rsidR="00326A19" w:rsidRPr="00BF4F33">
        <w:rPr>
          <w:rFonts w:eastAsia="Times New Roman" w:cs="Times New Roman"/>
          <w:szCs w:val="24"/>
        </w:rPr>
        <w:t xml:space="preserve">będą </w:t>
      </w:r>
      <w:r w:rsidRPr="00BF4F33">
        <w:rPr>
          <w:rFonts w:eastAsia="Times New Roman" w:cs="Times New Roman"/>
          <w:szCs w:val="24"/>
        </w:rPr>
        <w:t>oblicza</w:t>
      </w:r>
      <w:r w:rsidR="00326A19" w:rsidRPr="00BF4F33">
        <w:rPr>
          <w:rFonts w:eastAsia="Times New Roman" w:cs="Times New Roman"/>
          <w:szCs w:val="24"/>
        </w:rPr>
        <w:t>ne</w:t>
      </w:r>
      <w:r w:rsidRPr="00BF4F33">
        <w:rPr>
          <w:rFonts w:eastAsia="Times New Roman" w:cs="Times New Roman"/>
          <w:szCs w:val="24"/>
        </w:rPr>
        <w:t xml:space="preserve"> i wpłaca</w:t>
      </w:r>
      <w:r w:rsidR="00326A19" w:rsidRPr="00BF4F33">
        <w:rPr>
          <w:rFonts w:eastAsia="Times New Roman" w:cs="Times New Roman"/>
          <w:szCs w:val="24"/>
        </w:rPr>
        <w:t>ne</w:t>
      </w:r>
      <w:r w:rsidRPr="00BF4F33">
        <w:rPr>
          <w:rFonts w:eastAsia="Times New Roman" w:cs="Times New Roman"/>
          <w:szCs w:val="24"/>
        </w:rPr>
        <w:t xml:space="preserve"> narastająco, co oznacza, że różnica między przychodami faktycznymi a hipotetycznymi </w:t>
      </w:r>
      <w:r w:rsidR="00326A19" w:rsidRPr="00BF4F33">
        <w:rPr>
          <w:rFonts w:eastAsia="Times New Roman" w:cs="Times New Roman"/>
          <w:szCs w:val="24"/>
        </w:rPr>
        <w:t>będzie</w:t>
      </w:r>
      <w:r w:rsidRPr="00BF4F33">
        <w:rPr>
          <w:rFonts w:eastAsia="Times New Roman" w:cs="Times New Roman"/>
          <w:szCs w:val="24"/>
        </w:rPr>
        <w:t xml:space="preserve"> obliczana od początku </w:t>
      </w:r>
      <w:r w:rsidR="00750789" w:rsidRPr="00BF4F33">
        <w:rPr>
          <w:rFonts w:eastAsia="Times New Roman" w:cs="Times New Roman"/>
          <w:szCs w:val="24"/>
        </w:rPr>
        <w:t xml:space="preserve">roku podatkowego </w:t>
      </w:r>
      <w:r w:rsidRPr="00BF4F33">
        <w:rPr>
          <w:rFonts w:eastAsia="Times New Roman" w:cs="Times New Roman"/>
          <w:szCs w:val="24"/>
        </w:rPr>
        <w:t xml:space="preserve">do końca każdego kolejnego miesiąca. Jeżeli w danym miesiącu narastająca nadwyżka zmniejszy się lub zniknie – wskutek pogorszenia </w:t>
      </w:r>
      <w:r w:rsidR="00490234" w:rsidRPr="00BF4F33">
        <w:rPr>
          <w:rFonts w:eastAsia="Times New Roman" w:cs="Times New Roman"/>
          <w:szCs w:val="24"/>
        </w:rPr>
        <w:t xml:space="preserve">skumulowanej </w:t>
      </w:r>
      <w:r w:rsidRPr="00BF4F33">
        <w:rPr>
          <w:rFonts w:eastAsia="Times New Roman" w:cs="Times New Roman"/>
          <w:szCs w:val="24"/>
        </w:rPr>
        <w:t xml:space="preserve">marży – zaliczka za ten miesiąc </w:t>
      </w:r>
      <w:r w:rsidR="00490234" w:rsidRPr="00BF4F33">
        <w:rPr>
          <w:rFonts w:eastAsia="Times New Roman" w:cs="Times New Roman"/>
          <w:szCs w:val="24"/>
        </w:rPr>
        <w:t>nie wystąpi</w:t>
      </w:r>
      <w:r w:rsidRPr="00BF4F33">
        <w:rPr>
          <w:rFonts w:eastAsia="Times New Roman" w:cs="Times New Roman"/>
          <w:szCs w:val="24"/>
        </w:rPr>
        <w:t xml:space="preserve">, a wcześniej wpłacone środki </w:t>
      </w:r>
      <w:r w:rsidR="00490234" w:rsidRPr="00BF4F33">
        <w:rPr>
          <w:rFonts w:eastAsia="Times New Roman" w:cs="Times New Roman"/>
          <w:szCs w:val="24"/>
        </w:rPr>
        <w:t xml:space="preserve">będą </w:t>
      </w:r>
      <w:r w:rsidRPr="00BF4F33">
        <w:rPr>
          <w:rFonts w:eastAsia="Times New Roman" w:cs="Times New Roman"/>
          <w:szCs w:val="24"/>
        </w:rPr>
        <w:t>rozliczane w ramach zeznania rocznego składanego do 30</w:t>
      </w:r>
      <w:r w:rsidR="00CC7DB6">
        <w:rPr>
          <w:rFonts w:eastAsia="Times New Roman" w:cs="Times New Roman"/>
          <w:szCs w:val="24"/>
        </w:rPr>
        <w:t> </w:t>
      </w:r>
      <w:r w:rsidRPr="00BF4F33">
        <w:rPr>
          <w:rFonts w:eastAsia="Times New Roman" w:cs="Times New Roman"/>
          <w:szCs w:val="24"/>
        </w:rPr>
        <w:t>kwietnia 2027 r.</w:t>
      </w:r>
      <w:r w:rsidR="00750789" w:rsidRPr="00BF4F33">
        <w:rPr>
          <w:rFonts w:eastAsia="Times New Roman" w:cs="Times New Roman"/>
          <w:szCs w:val="24"/>
        </w:rPr>
        <w:t xml:space="preserve"> Przy czym </w:t>
      </w:r>
      <w:r w:rsidR="00490234" w:rsidRPr="00BF4F33">
        <w:rPr>
          <w:rFonts w:eastAsia="Times New Roman" w:cs="Times New Roman"/>
          <w:szCs w:val="24"/>
        </w:rPr>
        <w:t xml:space="preserve">projekt </w:t>
      </w:r>
      <w:r w:rsidR="00750789" w:rsidRPr="00BF4F33">
        <w:rPr>
          <w:rFonts w:eastAsia="Times New Roman" w:cs="Times New Roman"/>
          <w:szCs w:val="24"/>
        </w:rPr>
        <w:t>przewiduje szczególne zasady obliczenia pierwszej zaliczki. Zapłata zobowiązania z tytułu pierwszej zaliczki obejmując</w:t>
      </w:r>
      <w:r w:rsidR="00490234" w:rsidRPr="00BF4F33">
        <w:rPr>
          <w:rFonts w:eastAsia="Times New Roman" w:cs="Times New Roman"/>
          <w:szCs w:val="24"/>
        </w:rPr>
        <w:t>ej</w:t>
      </w:r>
      <w:r w:rsidR="00750789" w:rsidRPr="00BF4F33">
        <w:rPr>
          <w:rFonts w:eastAsia="Times New Roman" w:cs="Times New Roman"/>
          <w:szCs w:val="24"/>
        </w:rPr>
        <w:t xml:space="preserve"> okres od 1 marca do 31</w:t>
      </w:r>
      <w:r w:rsidR="00CC7DB6">
        <w:rPr>
          <w:rFonts w:eastAsia="Times New Roman" w:cs="Times New Roman"/>
          <w:szCs w:val="24"/>
        </w:rPr>
        <w:t> </w:t>
      </w:r>
      <w:r w:rsidR="00034055" w:rsidRPr="00BF4F33">
        <w:rPr>
          <w:rFonts w:eastAsia="Times New Roman" w:cs="Times New Roman"/>
          <w:szCs w:val="24"/>
        </w:rPr>
        <w:t xml:space="preserve">października </w:t>
      </w:r>
      <w:r w:rsidR="00750789" w:rsidRPr="00BF4F33">
        <w:rPr>
          <w:rFonts w:eastAsia="Times New Roman" w:cs="Times New Roman"/>
          <w:szCs w:val="24"/>
        </w:rPr>
        <w:t>2026 r. – będzie wpłac</w:t>
      </w:r>
      <w:r w:rsidR="00034055" w:rsidRPr="00BF4F33">
        <w:rPr>
          <w:rFonts w:eastAsia="Times New Roman" w:cs="Times New Roman"/>
          <w:szCs w:val="24"/>
        </w:rPr>
        <w:t>ona</w:t>
      </w:r>
      <w:r w:rsidR="00750789" w:rsidRPr="00BF4F33">
        <w:rPr>
          <w:rFonts w:eastAsia="Times New Roman" w:cs="Times New Roman"/>
          <w:szCs w:val="24"/>
        </w:rPr>
        <w:t xml:space="preserve"> </w:t>
      </w:r>
      <w:r w:rsidR="00034055" w:rsidRPr="00BF4F33">
        <w:rPr>
          <w:rFonts w:eastAsia="Times New Roman" w:cs="Times New Roman"/>
          <w:szCs w:val="24"/>
        </w:rPr>
        <w:t xml:space="preserve">w listopadzie </w:t>
      </w:r>
      <w:r w:rsidR="00750789" w:rsidRPr="00BF4F33">
        <w:rPr>
          <w:rFonts w:eastAsia="Times New Roman" w:cs="Times New Roman"/>
          <w:szCs w:val="24"/>
        </w:rPr>
        <w:t>2026 r.</w:t>
      </w:r>
      <w:r w:rsidR="00490234" w:rsidRPr="00BF4F33">
        <w:rPr>
          <w:rFonts w:eastAsia="Times New Roman" w:cs="Times New Roman"/>
          <w:szCs w:val="24"/>
        </w:rPr>
        <w:t xml:space="preserve"> </w:t>
      </w:r>
    </w:p>
    <w:p w14:paraId="5C2CBBDA" w14:textId="23DC1BE4" w:rsidR="00C53E50" w:rsidRPr="00BF4F33" w:rsidRDefault="009D1C08" w:rsidP="00BA1951">
      <w:pPr>
        <w:widowControl/>
        <w:spacing w:before="120"/>
        <w:jc w:val="both"/>
        <w:rPr>
          <w:rFonts w:eastAsia="Times New Roman" w:cs="Times New Roman"/>
          <w:szCs w:val="24"/>
        </w:rPr>
      </w:pPr>
      <w:r w:rsidRPr="00BF4F33">
        <w:rPr>
          <w:rFonts w:eastAsia="Times New Roman" w:cs="Times New Roman"/>
          <w:szCs w:val="24"/>
        </w:rPr>
        <w:t>Proponuje się, aby stawka podatku wynosiła</w:t>
      </w:r>
      <w:r w:rsidR="00C53E50" w:rsidRPr="00BF4F33">
        <w:rPr>
          <w:rFonts w:eastAsia="Times New Roman" w:cs="Times New Roman"/>
          <w:szCs w:val="24"/>
        </w:rPr>
        <w:t xml:space="preserve"> </w:t>
      </w:r>
      <w:r w:rsidR="00E80E95" w:rsidRPr="00BF4F33">
        <w:rPr>
          <w:rFonts w:eastAsia="Times New Roman" w:cs="Times New Roman"/>
          <w:szCs w:val="24"/>
        </w:rPr>
        <w:t>60</w:t>
      </w:r>
      <w:r w:rsidR="00C53E50" w:rsidRPr="00BF4F33">
        <w:rPr>
          <w:rFonts w:eastAsia="Times New Roman" w:cs="Times New Roman"/>
          <w:szCs w:val="24"/>
        </w:rPr>
        <w:t xml:space="preserve">% tak </w:t>
      </w:r>
      <w:r w:rsidRPr="00BF4F33">
        <w:rPr>
          <w:rFonts w:eastAsia="Times New Roman" w:cs="Times New Roman"/>
          <w:szCs w:val="24"/>
        </w:rPr>
        <w:t>określonej</w:t>
      </w:r>
      <w:r w:rsidR="00C53E50" w:rsidRPr="00BF4F33">
        <w:rPr>
          <w:rFonts w:eastAsia="Times New Roman" w:cs="Times New Roman"/>
          <w:szCs w:val="24"/>
        </w:rPr>
        <w:t xml:space="preserve"> podstawy opodatkowania, co</w:t>
      </w:r>
      <w:r w:rsidRPr="00BF4F33">
        <w:rPr>
          <w:rFonts w:eastAsia="Times New Roman" w:cs="Times New Roman"/>
          <w:szCs w:val="24"/>
        </w:rPr>
        <w:t> </w:t>
      </w:r>
      <w:r w:rsidR="00C53E50" w:rsidRPr="00BF4F33">
        <w:rPr>
          <w:rFonts w:eastAsia="Times New Roman" w:cs="Times New Roman"/>
          <w:szCs w:val="24"/>
        </w:rPr>
        <w:t>proporcjonalnie odzwierciedla skalę nieoczekiwanych korzyści, przy jednoczesnym pozostawieniu podatnikowi</w:t>
      </w:r>
      <w:r w:rsidR="00580E5B" w:rsidRPr="00BF4F33">
        <w:rPr>
          <w:rFonts w:eastAsia="Times New Roman" w:cs="Times New Roman"/>
          <w:szCs w:val="24"/>
        </w:rPr>
        <w:t xml:space="preserve"> możliwości dysponowania</w:t>
      </w:r>
      <w:r w:rsidR="00C53E50" w:rsidRPr="00BF4F33">
        <w:rPr>
          <w:rFonts w:eastAsia="Times New Roman" w:cs="Times New Roman"/>
          <w:szCs w:val="24"/>
        </w:rPr>
        <w:t xml:space="preserve"> </w:t>
      </w:r>
      <w:r w:rsidRPr="00BF4F33">
        <w:rPr>
          <w:rFonts w:eastAsia="Times New Roman" w:cs="Times New Roman"/>
          <w:szCs w:val="24"/>
        </w:rPr>
        <w:t xml:space="preserve">istotnej części nadzwyczajnego zysku. </w:t>
      </w:r>
    </w:p>
    <w:p w14:paraId="5B6022AE" w14:textId="79738292" w:rsidR="00EC1F83" w:rsidRPr="00BF4F33" w:rsidRDefault="00D72DC6" w:rsidP="00BA1951">
      <w:pPr>
        <w:widowControl/>
        <w:spacing w:before="120"/>
        <w:jc w:val="both"/>
        <w:rPr>
          <w:rFonts w:eastAsia="Times New Roman" w:cs="Times New Roman"/>
          <w:szCs w:val="24"/>
        </w:rPr>
      </w:pPr>
      <w:r w:rsidRPr="00BF4F33">
        <w:rPr>
          <w:rFonts w:eastAsia="Times New Roman" w:cs="Times New Roman"/>
          <w:szCs w:val="24"/>
        </w:rPr>
        <w:lastRenderedPageBreak/>
        <w:t xml:space="preserve">Odrębnego wyjaśnienia wymaga kontekst czasowy </w:t>
      </w:r>
      <w:r w:rsidR="00AD7B68" w:rsidRPr="00BF4F33">
        <w:rPr>
          <w:rFonts w:eastAsia="Times New Roman" w:cs="Times New Roman"/>
          <w:szCs w:val="24"/>
        </w:rPr>
        <w:t>obowiązków płynących z propozycji omawianego podatku</w:t>
      </w:r>
      <w:r w:rsidRPr="00BF4F33">
        <w:rPr>
          <w:rFonts w:eastAsia="Times New Roman" w:cs="Times New Roman"/>
          <w:szCs w:val="24"/>
        </w:rPr>
        <w:t>. Projektowana regulacja przewiduje objęcie opodatkowaniem nadzwyczajnych zysków osiągniętych od dnia 1 marca 2026 r., podczas gdy samo wejście w</w:t>
      </w:r>
      <w:r w:rsidR="00B53C38" w:rsidRPr="00BF4F33">
        <w:rPr>
          <w:rFonts w:eastAsia="Times New Roman" w:cs="Times New Roman"/>
          <w:szCs w:val="24"/>
        </w:rPr>
        <w:t> </w:t>
      </w:r>
      <w:r w:rsidRPr="00BF4F33">
        <w:rPr>
          <w:rFonts w:eastAsia="Times New Roman" w:cs="Times New Roman"/>
          <w:szCs w:val="24"/>
        </w:rPr>
        <w:t xml:space="preserve">życie ustawy nastąpi w momencie późniejszym. Konstrukcja ta implikuje konieczność oceny projektu przez pryzmat wynikającej z art. 2 Konstytucji RP zasady demokratycznego państwa prawnego, w tym w szczególności </w:t>
      </w:r>
      <w:r w:rsidR="00F158B3" w:rsidRPr="00BF4F33">
        <w:rPr>
          <w:rFonts w:eastAsia="Times New Roman" w:cs="Times New Roman"/>
          <w:szCs w:val="24"/>
        </w:rPr>
        <w:t>wywodzonej z</w:t>
      </w:r>
      <w:r w:rsidRPr="00BF4F33">
        <w:rPr>
          <w:rFonts w:eastAsia="Times New Roman" w:cs="Times New Roman"/>
          <w:szCs w:val="24"/>
        </w:rPr>
        <w:t xml:space="preserve"> tej zasady, reguły niedziałania prawa wstecz (</w:t>
      </w:r>
      <w:r w:rsidRPr="00BF4F33">
        <w:rPr>
          <w:rFonts w:eastAsia="Times New Roman" w:cs="Times New Roman"/>
          <w:i/>
          <w:iCs/>
          <w:szCs w:val="24"/>
        </w:rPr>
        <w:t>lex retro non agit</w:t>
      </w:r>
      <w:r w:rsidRPr="00BF4F33">
        <w:rPr>
          <w:rFonts w:eastAsia="Times New Roman" w:cs="Times New Roman"/>
          <w:szCs w:val="24"/>
        </w:rPr>
        <w:t>). W tym kontekście należy podkreślić, że zgodnie z dorobkiem orzeczniczym Trybunału Konstytucyjnego</w:t>
      </w:r>
      <w:r w:rsidRPr="00BF4F33">
        <w:rPr>
          <w:rStyle w:val="Odwoanieprzypisudolnego"/>
          <w:rFonts w:eastAsia="Times New Roman" w:cs="Times New Roman"/>
          <w:szCs w:val="24"/>
        </w:rPr>
        <w:footnoteReference w:id="5"/>
      </w:r>
      <w:r w:rsidR="00BF4F33" w:rsidRPr="00BF4F33">
        <w:rPr>
          <w:rFonts w:eastAsia="Times New Roman" w:cs="Times New Roman"/>
          <w:szCs w:val="24"/>
          <w:vertAlign w:val="superscript"/>
        </w:rPr>
        <w:t>)</w:t>
      </w:r>
      <w:r w:rsidRPr="00BF4F33">
        <w:rPr>
          <w:rFonts w:eastAsia="Times New Roman" w:cs="Times New Roman"/>
          <w:szCs w:val="24"/>
        </w:rPr>
        <w:t>, zasada niedziałania prawa wstecz nie ma</w:t>
      </w:r>
      <w:r w:rsidR="001A3BD9" w:rsidRPr="00BF4F33">
        <w:rPr>
          <w:rFonts w:eastAsia="Times New Roman" w:cs="Times New Roman"/>
          <w:szCs w:val="24"/>
        </w:rPr>
        <w:t xml:space="preserve"> na gruncie prawa podatkowego</w:t>
      </w:r>
      <w:r w:rsidR="001A3BD9" w:rsidRPr="00BF4F33">
        <w:rPr>
          <w:rStyle w:val="Odwoanieprzypisudolnego"/>
          <w:rFonts w:eastAsia="Times New Roman" w:cs="Times New Roman"/>
          <w:szCs w:val="24"/>
        </w:rPr>
        <w:footnoteReference w:id="6"/>
      </w:r>
      <w:r w:rsidR="00BF4F33" w:rsidRPr="00BF4F33">
        <w:rPr>
          <w:rFonts w:eastAsia="Times New Roman" w:cs="Times New Roman"/>
          <w:szCs w:val="24"/>
          <w:vertAlign w:val="superscript"/>
        </w:rPr>
        <w:t>)</w:t>
      </w:r>
      <w:r w:rsidRPr="00BF4F33">
        <w:rPr>
          <w:rFonts w:eastAsia="Times New Roman" w:cs="Times New Roman"/>
          <w:szCs w:val="24"/>
        </w:rPr>
        <w:t xml:space="preserve"> waloru absolutnego i dopuszcza się odstępstwa od funkcjonowania tej zasady w ściśle określonych warunkach.</w:t>
      </w:r>
      <w:r w:rsidR="001A3BD9" w:rsidRPr="00BF4F33">
        <w:rPr>
          <w:rFonts w:eastAsia="Times New Roman" w:cs="Times New Roman"/>
          <w:szCs w:val="24"/>
        </w:rPr>
        <w:t xml:space="preserve"> </w:t>
      </w:r>
      <w:r w:rsidRPr="00BF4F33">
        <w:rPr>
          <w:rFonts w:eastAsia="Times New Roman" w:cs="Times New Roman"/>
          <w:szCs w:val="24"/>
        </w:rPr>
        <w:t xml:space="preserve">W odniesieniu do prawa podatkowego uznaje się, iż odstąpienie od zasady </w:t>
      </w:r>
      <w:r w:rsidRPr="00BF4F33">
        <w:rPr>
          <w:rFonts w:eastAsia="Times New Roman" w:cs="Times New Roman"/>
          <w:i/>
          <w:iCs/>
          <w:szCs w:val="24"/>
        </w:rPr>
        <w:t>lex retro non agit</w:t>
      </w:r>
      <w:r w:rsidRPr="00BF4F33">
        <w:rPr>
          <w:rFonts w:eastAsia="Times New Roman" w:cs="Times New Roman"/>
          <w:szCs w:val="24"/>
        </w:rPr>
        <w:t xml:space="preserve"> jest dopuszczalne, jeżeli jest to konieczne dla realizacji lub ochrony innych wartości konstytucyjnych o szczególnej doniosłości. </w:t>
      </w:r>
    </w:p>
    <w:p w14:paraId="3FC56156" w14:textId="644909B3" w:rsidR="00D72DC6" w:rsidRPr="00BF4F33" w:rsidRDefault="00D72DC6" w:rsidP="00BA1951">
      <w:pPr>
        <w:widowControl/>
        <w:spacing w:before="120"/>
        <w:jc w:val="both"/>
        <w:rPr>
          <w:rFonts w:eastAsia="Times New Roman" w:cs="Times New Roman"/>
          <w:szCs w:val="24"/>
        </w:rPr>
      </w:pPr>
      <w:r w:rsidRPr="00BF4F33">
        <w:rPr>
          <w:rFonts w:eastAsia="Times New Roman" w:cs="Times New Roman"/>
          <w:szCs w:val="24"/>
        </w:rPr>
        <w:t xml:space="preserve">Zgodnie z przedstawionymi </w:t>
      </w:r>
      <w:r w:rsidR="00291831" w:rsidRPr="00BF4F33">
        <w:rPr>
          <w:rFonts w:eastAsia="Times New Roman" w:cs="Times New Roman"/>
          <w:szCs w:val="24"/>
        </w:rPr>
        <w:t>powyżej</w:t>
      </w:r>
      <w:r w:rsidRPr="00BF4F33">
        <w:rPr>
          <w:rFonts w:eastAsia="Times New Roman" w:cs="Times New Roman"/>
          <w:szCs w:val="24"/>
        </w:rPr>
        <w:t xml:space="preserve"> wyjaśnieniami, w obecnej, nadzwyczajnej sytuacji społeczno-gospodarczej, za odstąpieniem od zasady </w:t>
      </w:r>
      <w:r w:rsidRPr="00BF4F33">
        <w:rPr>
          <w:rFonts w:eastAsia="Times New Roman" w:cs="Times New Roman"/>
          <w:i/>
          <w:iCs/>
          <w:szCs w:val="24"/>
        </w:rPr>
        <w:t>lex retro non agit</w:t>
      </w:r>
      <w:r w:rsidRPr="00BF4F33">
        <w:rPr>
          <w:rFonts w:eastAsia="Times New Roman" w:cs="Times New Roman"/>
          <w:szCs w:val="24"/>
        </w:rPr>
        <w:t xml:space="preserve"> i objęciem podatkiem okresu od 1 marca 2026 r. jednoznacznie przemawia konieczność zadośćuczynienia fundamentalnym normom inkorporowanym w art. 2 Konstytucji RP, to jest zasadom sprawiedliwości społecznej oraz równości</w:t>
      </w:r>
      <w:r w:rsidR="00B663C1" w:rsidRPr="00BF4F33">
        <w:rPr>
          <w:rFonts w:eastAsia="Times New Roman" w:cs="Times New Roman"/>
          <w:szCs w:val="24"/>
        </w:rPr>
        <w:t xml:space="preserve">, </w:t>
      </w:r>
      <w:r w:rsidR="00281B96" w:rsidRPr="00BF4F33">
        <w:rPr>
          <w:rFonts w:eastAsia="Times New Roman" w:cs="Times New Roman"/>
          <w:szCs w:val="24"/>
        </w:rPr>
        <w:t>jak również wzgląd na konieczność zachowania</w:t>
      </w:r>
      <w:r w:rsidR="00747B13">
        <w:rPr>
          <w:rFonts w:eastAsia="Times New Roman" w:cs="Times New Roman"/>
          <w:szCs w:val="24"/>
        </w:rPr>
        <w:t xml:space="preserve"> </w:t>
      </w:r>
      <w:r w:rsidR="00281B96" w:rsidRPr="00BF4F33">
        <w:rPr>
          <w:rFonts w:eastAsia="Times New Roman" w:cs="Times New Roman"/>
          <w:szCs w:val="24"/>
        </w:rPr>
        <w:t>równowagi budżetowej, która w świetle orzecznictwa Trybunału Konstytucyjnego również jest wartością konstytucyjną (wyrok TK w sprawie o sygn. K 1/12 z dnia 12 grudnia 2012 r</w:t>
      </w:r>
      <w:r w:rsidR="00B73282" w:rsidRPr="00BF4F33">
        <w:rPr>
          <w:rFonts w:eastAsia="Times New Roman" w:cs="Times New Roman"/>
          <w:szCs w:val="24"/>
        </w:rPr>
        <w:t>.</w:t>
      </w:r>
      <w:r w:rsidRPr="00BF4F33">
        <w:rPr>
          <w:rFonts w:eastAsia="Times New Roman" w:cs="Times New Roman"/>
          <w:szCs w:val="24"/>
        </w:rPr>
        <w:t xml:space="preserve"> </w:t>
      </w:r>
      <w:r w:rsidR="00A6569E" w:rsidRPr="00BF4F33">
        <w:rPr>
          <w:rFonts w:eastAsia="Times New Roman" w:cs="Times New Roman"/>
          <w:szCs w:val="24"/>
        </w:rPr>
        <w:t xml:space="preserve">Jak wskazano na wstępie, ciężar </w:t>
      </w:r>
      <w:r w:rsidR="00507962" w:rsidRPr="00BF4F33">
        <w:rPr>
          <w:rFonts w:eastAsia="Times New Roman" w:cs="Times New Roman"/>
          <w:szCs w:val="24"/>
        </w:rPr>
        <w:t xml:space="preserve">finansowy będący następstwem </w:t>
      </w:r>
      <w:r w:rsidR="00A6569E" w:rsidRPr="00BF4F33">
        <w:rPr>
          <w:rFonts w:eastAsia="Times New Roman" w:cs="Times New Roman"/>
          <w:szCs w:val="24"/>
        </w:rPr>
        <w:t xml:space="preserve">sytuacji nadzwyczajnej związanej z konfliktem na Bliskim Wschodzie powinien równomiernie obciążać ogół społeczeństwa i podmiotów gospodarczych. Nie jest natomiast zgodna z tymi zasadami sytuacja, w której wąska grupa (przedsiębiorstwa działające w sektorze paliwowym i ich właściciele) osiąga z tego tytułu istotne korzyści kosztem konsumentów i pozostałych przedsiębiorstw. </w:t>
      </w:r>
      <w:r w:rsidRPr="00BF4F33">
        <w:rPr>
          <w:rFonts w:eastAsia="Times New Roman" w:cs="Times New Roman"/>
          <w:szCs w:val="24"/>
        </w:rPr>
        <w:t>Zaproponowana konstrukcja stanowi wyraz „dążenia organów władzy publicznej do zachowania równowagi w stosunkach społecznych”</w:t>
      </w:r>
      <w:r w:rsidR="00D24AAB" w:rsidRPr="00BF4F33">
        <w:rPr>
          <w:rStyle w:val="Odwoanieprzypisudolnego"/>
          <w:rFonts w:eastAsia="Times New Roman" w:cs="Times New Roman"/>
          <w:szCs w:val="24"/>
        </w:rPr>
        <w:footnoteReference w:id="7"/>
      </w:r>
      <w:r w:rsidR="00BF4F33" w:rsidRPr="00BF4F33">
        <w:rPr>
          <w:rFonts w:eastAsia="Times New Roman" w:cs="Times New Roman"/>
          <w:szCs w:val="24"/>
          <w:vertAlign w:val="superscript"/>
        </w:rPr>
        <w:t>)</w:t>
      </w:r>
      <w:r w:rsidRPr="00BF4F33">
        <w:rPr>
          <w:rFonts w:eastAsia="Times New Roman" w:cs="Times New Roman"/>
          <w:szCs w:val="24"/>
        </w:rPr>
        <w:t>, naruszonej przez zewnętrzny wstrząs geopolityczny, którego beneficjentami jest</w:t>
      </w:r>
      <w:r w:rsidR="00291831" w:rsidRPr="00BF4F33">
        <w:rPr>
          <w:rFonts w:eastAsia="Times New Roman" w:cs="Times New Roman"/>
          <w:szCs w:val="24"/>
        </w:rPr>
        <w:t xml:space="preserve"> </w:t>
      </w:r>
      <w:r w:rsidRPr="00BF4F33">
        <w:rPr>
          <w:rFonts w:eastAsia="Times New Roman" w:cs="Times New Roman"/>
          <w:szCs w:val="24"/>
        </w:rPr>
        <w:t xml:space="preserve">wąska grupa przedsiębiorców. </w:t>
      </w:r>
    </w:p>
    <w:p w14:paraId="54F19276" w14:textId="543E792B" w:rsidR="00860D89" w:rsidRPr="00BF4F33" w:rsidRDefault="00860D89" w:rsidP="00BA1951">
      <w:pPr>
        <w:widowControl/>
        <w:spacing w:before="120"/>
        <w:jc w:val="both"/>
        <w:rPr>
          <w:rFonts w:eastAsia="Times New Roman" w:cs="Times New Roman"/>
          <w:szCs w:val="24"/>
        </w:rPr>
      </w:pPr>
      <w:r w:rsidRPr="00BF4F33">
        <w:rPr>
          <w:rFonts w:eastAsia="Times New Roman" w:cs="Times New Roman"/>
          <w:szCs w:val="24"/>
        </w:rPr>
        <w:t>Niezależnie od powyższego należy zwrócić uwagę na funkcjonujące w doktrynie prawa rozróżnienie pomiędzy retroaktywnością, czyli działaniem prawa wstecz, oznaczając</w:t>
      </w:r>
      <w:r w:rsidR="00750789" w:rsidRPr="00BF4F33">
        <w:rPr>
          <w:rFonts w:eastAsia="Times New Roman" w:cs="Times New Roman"/>
          <w:szCs w:val="24"/>
        </w:rPr>
        <w:t>ym</w:t>
      </w:r>
      <w:r w:rsidRPr="00BF4F33">
        <w:rPr>
          <w:rFonts w:eastAsia="Times New Roman" w:cs="Times New Roman"/>
          <w:szCs w:val="24"/>
        </w:rPr>
        <w:t xml:space="preserve"> stosowanie nowych przepisów do zdarzeń już zakończonych, a retrospektywności</w:t>
      </w:r>
      <w:r w:rsidR="00750789" w:rsidRPr="00BF4F33">
        <w:rPr>
          <w:rFonts w:eastAsia="Times New Roman" w:cs="Times New Roman"/>
          <w:szCs w:val="24"/>
        </w:rPr>
        <w:t>ą</w:t>
      </w:r>
      <w:r w:rsidRPr="00BF4F33">
        <w:rPr>
          <w:rFonts w:eastAsia="Times New Roman" w:cs="Times New Roman"/>
          <w:szCs w:val="24"/>
        </w:rPr>
        <w:t xml:space="preserve"> regulacji, </w:t>
      </w:r>
      <w:r w:rsidRPr="00BF4F33">
        <w:rPr>
          <w:rFonts w:eastAsia="Times New Roman" w:cs="Times New Roman"/>
          <w:szCs w:val="24"/>
        </w:rPr>
        <w:lastRenderedPageBreak/>
        <w:t>(nazywan</w:t>
      </w:r>
      <w:r w:rsidR="00750789" w:rsidRPr="00BF4F33">
        <w:rPr>
          <w:rFonts w:eastAsia="Times New Roman" w:cs="Times New Roman"/>
          <w:szCs w:val="24"/>
        </w:rPr>
        <w:t>ą</w:t>
      </w:r>
      <w:r w:rsidRPr="00BF4F33">
        <w:rPr>
          <w:rFonts w:eastAsia="Times New Roman" w:cs="Times New Roman"/>
          <w:szCs w:val="24"/>
        </w:rPr>
        <w:t xml:space="preserve"> inaczej retroaktywnością pozorną) polegającą na stosowaniu nowych przepisów do trwających stosunków prawnych (zapoczątkowanych przed zmianą prawa). Z tą drugą sytuacją wiąże się mniejsze ryzyko naruszenia standardów konstytucyjnych. W tym kontekście należy zwrócić uwagę, iż zaproponowany w projekcie okres rozliczeniowy nie zostanie w całości zakończony </w:t>
      </w:r>
      <w:r w:rsidR="00750789" w:rsidRPr="00BF4F33">
        <w:rPr>
          <w:rFonts w:eastAsia="Times New Roman" w:cs="Times New Roman"/>
          <w:szCs w:val="24"/>
        </w:rPr>
        <w:t xml:space="preserve">przed </w:t>
      </w:r>
      <w:r w:rsidRPr="00BF4F33">
        <w:rPr>
          <w:rFonts w:eastAsia="Times New Roman" w:cs="Times New Roman"/>
          <w:szCs w:val="24"/>
        </w:rPr>
        <w:t xml:space="preserve">przyjętą datą wejścia ustawy w życie. Nie ma zatem pewności, czy podatek od nadzwyczajnych zysków faktycznie u konkretnego podatnika wystąpi.  </w:t>
      </w:r>
    </w:p>
    <w:p w14:paraId="72F57A94" w14:textId="3C89DE68" w:rsidR="00B84D3C" w:rsidRPr="00BF4F33" w:rsidRDefault="006A292C" w:rsidP="00BA1951">
      <w:pPr>
        <w:widowControl/>
        <w:spacing w:before="120"/>
        <w:jc w:val="both"/>
        <w:rPr>
          <w:rFonts w:eastAsia="Times New Roman" w:cs="Times New Roman"/>
          <w:szCs w:val="24"/>
        </w:rPr>
      </w:pPr>
      <w:r w:rsidRPr="00BF4F33">
        <w:rPr>
          <w:rFonts w:eastAsia="Times New Roman" w:cs="Times New Roman"/>
          <w:szCs w:val="24"/>
        </w:rPr>
        <w:t xml:space="preserve">Ponadto należy podkreślić, iż </w:t>
      </w:r>
      <w:r w:rsidR="00EC1F83" w:rsidRPr="00BF4F33">
        <w:rPr>
          <w:rFonts w:eastAsia="Times New Roman" w:cs="Times New Roman"/>
          <w:szCs w:val="24"/>
        </w:rPr>
        <w:t>zgodnie z utrwalonym podejściem Trybunału Konstytucyjnego stanowienie przepisów retroaktywnych, które pogarszają sytuację adresatów norm, jest szczególnie trudne do akceptacji, kiedy problem rozwiązywany przez te regulacje był znany ustawodawcy wcześniej i mógł być rozwiązany z wyprzedzeniem bez użycia przepisów działających wstecz (zob. orzeczenia z: 19 października 1993 r., sygn. K. 14/92, OTK w 1992</w:t>
      </w:r>
      <w:r w:rsidR="00F4354B">
        <w:rPr>
          <w:rFonts w:eastAsia="Times New Roman" w:cs="Times New Roman"/>
          <w:szCs w:val="24"/>
        </w:rPr>
        <w:t> </w:t>
      </w:r>
      <w:r w:rsidR="00EC1F83" w:rsidRPr="00BF4F33">
        <w:rPr>
          <w:rFonts w:eastAsia="Times New Roman" w:cs="Times New Roman"/>
          <w:szCs w:val="24"/>
        </w:rPr>
        <w:t>r., poz. 35; 29 marca 1994 r., sygn. K. 13/93, OTK w 1994 r., poz. 6). Taka sytuacja nie ma miejsca w przypadku omawianego projektu. Jak wyjaśniono na wstępie, projekt ten stanowi reakcję na zdarzenie, którego nie można było przewidzieć i na które, ani ustawodawca, ani adresaci tej regulacji nie mieli wpływu.</w:t>
      </w:r>
      <w:r w:rsidR="00717294" w:rsidRPr="00BF4F33">
        <w:rPr>
          <w:rFonts w:eastAsia="Times New Roman" w:cs="Times New Roman"/>
          <w:szCs w:val="24"/>
        </w:rPr>
        <w:t xml:space="preserve"> </w:t>
      </w:r>
      <w:r w:rsidR="00B84D3C" w:rsidRPr="00BF4F33">
        <w:rPr>
          <w:rFonts w:eastAsia="Times New Roman" w:cs="Times New Roman"/>
          <w:szCs w:val="24"/>
        </w:rPr>
        <w:t xml:space="preserve">Trudno zatem uznać, że w tym zakresie podatnicy przed marcem br. mogli mieć uzasadnione oczekiwania osiągniecia nadzwyczajnych zysków. </w:t>
      </w:r>
      <w:r w:rsidR="00C53516" w:rsidRPr="00BF4F33">
        <w:rPr>
          <w:rFonts w:eastAsia="Times New Roman" w:cs="Times New Roman"/>
          <w:szCs w:val="24"/>
        </w:rPr>
        <w:t xml:space="preserve">Nie budzi również wątpliwości, że szczególny charakter projektowanego podatku, jakim jest opodatkowanie „nadzwyczajnych” zysków </w:t>
      </w:r>
      <w:r w:rsidR="002148D7" w:rsidRPr="00BF4F33">
        <w:rPr>
          <w:rFonts w:eastAsia="Times New Roman" w:cs="Times New Roman"/>
          <w:szCs w:val="24"/>
        </w:rPr>
        <w:t xml:space="preserve">wymaga rozwiązań ekstraordynaryjnych. </w:t>
      </w:r>
      <w:r w:rsidR="00D1179F" w:rsidRPr="00BF4F33">
        <w:rPr>
          <w:rFonts w:eastAsia="Times New Roman" w:cs="Times New Roman"/>
          <w:szCs w:val="24"/>
        </w:rPr>
        <w:t>Nieprzewidywalność zdarzeń, z którymi wiąże się ich osiągnięcie powoduje, że</w:t>
      </w:r>
      <w:r w:rsidR="00C60668" w:rsidRPr="00BF4F33">
        <w:rPr>
          <w:rFonts w:eastAsia="Times New Roman" w:cs="Times New Roman"/>
          <w:szCs w:val="24"/>
        </w:rPr>
        <w:t xml:space="preserve"> niejako</w:t>
      </w:r>
      <w:r w:rsidR="00D1179F" w:rsidRPr="00BF4F33">
        <w:rPr>
          <w:rFonts w:eastAsia="Times New Roman" w:cs="Times New Roman"/>
          <w:szCs w:val="24"/>
        </w:rPr>
        <w:t xml:space="preserve"> </w:t>
      </w:r>
      <w:r w:rsidR="00C60668" w:rsidRPr="00BF4F33">
        <w:rPr>
          <w:rFonts w:eastAsia="Times New Roman" w:cs="Times New Roman"/>
          <w:i/>
          <w:iCs/>
          <w:szCs w:val="24"/>
        </w:rPr>
        <w:t>ex definitione</w:t>
      </w:r>
      <w:r w:rsidR="00C60668" w:rsidRPr="00BF4F33">
        <w:rPr>
          <w:rFonts w:eastAsia="Times New Roman" w:cs="Times New Roman"/>
          <w:szCs w:val="24"/>
        </w:rPr>
        <w:t xml:space="preserve"> nie jest możliwe wdrożenie tego rodzaju rozwiązań na przyszłość (ekonomicznie będą to bowiem już inne zyski niż osiągnięte w związku z sytuacją nadzwyczajną).</w:t>
      </w:r>
    </w:p>
    <w:p w14:paraId="7BBB49F9" w14:textId="524BC023" w:rsidR="00EC1F83" w:rsidRPr="00BF4F33" w:rsidRDefault="006A292C" w:rsidP="00BA1951">
      <w:pPr>
        <w:widowControl/>
        <w:spacing w:before="120"/>
        <w:jc w:val="both"/>
        <w:rPr>
          <w:rFonts w:eastAsia="Times New Roman" w:cs="Times New Roman"/>
          <w:szCs w:val="24"/>
        </w:rPr>
      </w:pPr>
      <w:r w:rsidRPr="00BF4F33">
        <w:rPr>
          <w:rFonts w:eastAsia="Times New Roman" w:cs="Times New Roman"/>
          <w:szCs w:val="24"/>
        </w:rPr>
        <w:t xml:space="preserve">Z orzecznictwa Trybunału Konstytucyjnego wynika również, że (dopuszczalna) </w:t>
      </w:r>
      <w:r w:rsidR="00EC1F83" w:rsidRPr="00BF4F33">
        <w:rPr>
          <w:rFonts w:eastAsia="Times New Roman" w:cs="Times New Roman"/>
          <w:szCs w:val="24"/>
        </w:rPr>
        <w:t>retroaktywność musi być konieczna (niezbędna) dla realizacji (urzeczywistniania)</w:t>
      </w:r>
      <w:r w:rsidRPr="00BF4F33">
        <w:rPr>
          <w:rStyle w:val="Odwoanieprzypisudolnego"/>
          <w:rFonts w:eastAsia="Times New Roman" w:cs="Times New Roman"/>
          <w:szCs w:val="24"/>
        </w:rPr>
        <w:footnoteReference w:id="8"/>
      </w:r>
      <w:r w:rsidR="00BF4F33" w:rsidRPr="00BF4F33">
        <w:rPr>
          <w:rFonts w:eastAsia="Times New Roman" w:cs="Times New Roman"/>
          <w:szCs w:val="24"/>
          <w:vertAlign w:val="superscript"/>
        </w:rPr>
        <w:t>)</w:t>
      </w:r>
      <w:r w:rsidRPr="00BF4F33">
        <w:rPr>
          <w:rFonts w:eastAsia="Times New Roman" w:cs="Times New Roman"/>
          <w:szCs w:val="24"/>
        </w:rPr>
        <w:t xml:space="preserve"> </w:t>
      </w:r>
      <w:r w:rsidR="00EC1F83" w:rsidRPr="00BF4F33">
        <w:rPr>
          <w:rFonts w:eastAsia="Times New Roman" w:cs="Times New Roman"/>
          <w:szCs w:val="24"/>
        </w:rPr>
        <w:t>lub ochrony</w:t>
      </w:r>
      <w:r w:rsidRPr="00BF4F33">
        <w:rPr>
          <w:rStyle w:val="Odwoanieprzypisudolnego"/>
          <w:rFonts w:eastAsia="Times New Roman" w:cs="Times New Roman"/>
          <w:szCs w:val="24"/>
        </w:rPr>
        <w:footnoteReference w:id="9"/>
      </w:r>
      <w:r w:rsidR="00BF4F33" w:rsidRPr="00BF4F33">
        <w:rPr>
          <w:rFonts w:eastAsia="Times New Roman" w:cs="Times New Roman"/>
          <w:szCs w:val="24"/>
          <w:vertAlign w:val="superscript"/>
        </w:rPr>
        <w:t>)</w:t>
      </w:r>
      <w:r w:rsidR="00EC1F83" w:rsidRPr="00BF4F33">
        <w:rPr>
          <w:rFonts w:eastAsia="Times New Roman" w:cs="Times New Roman"/>
          <w:szCs w:val="24"/>
        </w:rPr>
        <w:t xml:space="preserve"> konkretnych wartości konstytucyjnych w tym sensie, że realizacja (ochrona) tych wartości nie jest możliwa bez wstecznego działania prawa. Te inne wartości konstytucyjne muszą być szczególnie cenne (por. cytowany już wyrok w sprawie sygn. SK 19/06) i ważniejsze od wartości chronionej zakazem retroakcji (por. powołany wyrok w sprawie o sygn. P. 4/99 oraz wyrok z 5 września 2007 r., sygn. P 21/06, OTK ZU nr 8/A/2007, poz. 96). W konkretnych wypadkach wartością taką może być np. sprawiedliwość społeczna (por. orzeczenie z 24 lipca 1990 r., sygn. K. 5/90, OTK w 1990 r., poz. 4)</w:t>
      </w:r>
      <w:r w:rsidR="000A2C5E" w:rsidRPr="00BF4F33">
        <w:rPr>
          <w:rFonts w:eastAsia="Times New Roman" w:cs="Times New Roman"/>
          <w:szCs w:val="24"/>
        </w:rPr>
        <w:t xml:space="preserve">. </w:t>
      </w:r>
    </w:p>
    <w:p w14:paraId="54888BB4" w14:textId="7EC32211" w:rsidR="005A1DF9" w:rsidRPr="00BF4F33" w:rsidRDefault="005A1DF9" w:rsidP="00BA1951">
      <w:pPr>
        <w:widowControl/>
        <w:spacing w:before="120" w:after="120"/>
        <w:rPr>
          <w:rFonts w:eastAsia="Times New Roman" w:cs="Times New Roman"/>
          <w:szCs w:val="24"/>
        </w:rPr>
      </w:pPr>
      <w:r w:rsidRPr="00BF4F33">
        <w:rPr>
          <w:rFonts w:cs="Times New Roman"/>
          <w:b/>
          <w:bCs/>
          <w:szCs w:val="24"/>
        </w:rPr>
        <w:lastRenderedPageBreak/>
        <w:t>I</w:t>
      </w:r>
      <w:r w:rsidR="005264BA" w:rsidRPr="00BF4F33">
        <w:rPr>
          <w:rFonts w:cs="Times New Roman"/>
          <w:b/>
          <w:bCs/>
          <w:szCs w:val="24"/>
        </w:rPr>
        <w:t>V</w:t>
      </w:r>
      <w:r w:rsidRPr="00BF4F33">
        <w:rPr>
          <w:rFonts w:cs="Times New Roman"/>
          <w:b/>
          <w:bCs/>
          <w:szCs w:val="24"/>
        </w:rPr>
        <w:t>. Szczegółowe omówienie przepisów projektu ustawy</w:t>
      </w:r>
    </w:p>
    <w:p w14:paraId="1037DE5A" w14:textId="10261207" w:rsidR="00955E1E" w:rsidRPr="00BF4F33" w:rsidRDefault="00955E1E" w:rsidP="00BA1951">
      <w:pPr>
        <w:widowControl/>
        <w:spacing w:before="120"/>
        <w:jc w:val="both"/>
        <w:rPr>
          <w:rFonts w:eastAsia="Times New Roman" w:cs="Times New Roman"/>
          <w:szCs w:val="24"/>
        </w:rPr>
      </w:pPr>
      <w:r w:rsidRPr="00BF4F33">
        <w:rPr>
          <w:rFonts w:cs="Times New Roman"/>
          <w:b/>
          <w:bCs/>
          <w:szCs w:val="24"/>
        </w:rPr>
        <w:t xml:space="preserve">Tytuł ustawy </w:t>
      </w:r>
      <w:r w:rsidR="00747B13">
        <w:rPr>
          <w:rFonts w:cs="Times New Roman"/>
          <w:b/>
          <w:bCs/>
          <w:szCs w:val="24"/>
        </w:rPr>
        <w:t>–</w:t>
      </w:r>
      <w:r w:rsidRPr="00BF4F33">
        <w:rPr>
          <w:rFonts w:cs="Times New Roman"/>
          <w:b/>
          <w:bCs/>
          <w:szCs w:val="24"/>
        </w:rPr>
        <w:t xml:space="preserve"> </w:t>
      </w:r>
      <w:r w:rsidRPr="00BF4F33">
        <w:rPr>
          <w:rFonts w:eastAsia="Times New Roman" w:cs="Times New Roman"/>
          <w:szCs w:val="24"/>
        </w:rPr>
        <w:t xml:space="preserve">epizodyczny charakter omawianej daniny został podkreślony w tytule projektu ustawy poprzez odesłanie do wskazanego okresu jej obowiązywania.  </w:t>
      </w:r>
    </w:p>
    <w:p w14:paraId="4EE94788" w14:textId="0994F78E" w:rsidR="00A84FDB" w:rsidRPr="00BF4F33" w:rsidRDefault="005A1DF9" w:rsidP="00BA1951">
      <w:pPr>
        <w:widowControl/>
        <w:spacing w:before="120"/>
        <w:jc w:val="both"/>
        <w:rPr>
          <w:rFonts w:cs="Times New Roman"/>
          <w:szCs w:val="24"/>
        </w:rPr>
      </w:pPr>
      <w:r w:rsidRPr="00BF4F33">
        <w:rPr>
          <w:rFonts w:cs="Times New Roman"/>
          <w:b/>
          <w:bCs/>
          <w:szCs w:val="24"/>
        </w:rPr>
        <w:t>Art. 1</w:t>
      </w:r>
      <w:r w:rsidRPr="00BF4F33">
        <w:rPr>
          <w:rFonts w:cs="Times New Roman"/>
          <w:szCs w:val="24"/>
        </w:rPr>
        <w:t xml:space="preserve"> –</w:t>
      </w:r>
      <w:r w:rsidR="00247929" w:rsidRPr="00BF4F33">
        <w:rPr>
          <w:rFonts w:cs="Times New Roman"/>
          <w:szCs w:val="24"/>
        </w:rPr>
        <w:t xml:space="preserve"> </w:t>
      </w:r>
      <w:r w:rsidRPr="00BF4F33">
        <w:rPr>
          <w:rFonts w:cs="Times New Roman"/>
          <w:szCs w:val="24"/>
        </w:rPr>
        <w:t>określa przedmiot regulacji</w:t>
      </w:r>
      <w:r w:rsidR="00205C70" w:rsidRPr="00BF4F33">
        <w:rPr>
          <w:rFonts w:cs="Times New Roman"/>
          <w:szCs w:val="24"/>
        </w:rPr>
        <w:t xml:space="preserve">. Opodatkowaniu podatkiem od nadzwyczajnych zysków podlegają zyski osiągnięte w </w:t>
      </w:r>
      <w:r w:rsidR="007C632C" w:rsidRPr="00BF4F33">
        <w:rPr>
          <w:rFonts w:cs="Times New Roman"/>
          <w:szCs w:val="24"/>
        </w:rPr>
        <w:t xml:space="preserve">okresie </w:t>
      </w:r>
      <w:r w:rsidR="00205C70" w:rsidRPr="00BF4F33">
        <w:rPr>
          <w:rFonts w:cs="Times New Roman"/>
          <w:szCs w:val="24"/>
        </w:rPr>
        <w:t>od 1 marca 2026 r. do 31 grudnia 2026 r.) w związku z</w:t>
      </w:r>
      <w:r w:rsidR="00901B7E" w:rsidRPr="00BF4F33">
        <w:rPr>
          <w:rFonts w:cs="Times New Roman"/>
          <w:szCs w:val="24"/>
        </w:rPr>
        <w:t>e zbywaniem</w:t>
      </w:r>
      <w:r w:rsidR="00205C70" w:rsidRPr="00BF4F33">
        <w:rPr>
          <w:rFonts w:cs="Times New Roman"/>
          <w:szCs w:val="24"/>
        </w:rPr>
        <w:t xml:space="preserve"> paliw ciekłych.</w:t>
      </w:r>
      <w:r w:rsidR="00F83BF6" w:rsidRPr="00BF4F33">
        <w:rPr>
          <w:rFonts w:cs="Times New Roman"/>
          <w:szCs w:val="24"/>
        </w:rPr>
        <w:t xml:space="preserve"> Przepis ten </w:t>
      </w:r>
      <w:r w:rsidR="00955E1E" w:rsidRPr="00BF4F33">
        <w:rPr>
          <w:rFonts w:cs="Times New Roman"/>
          <w:szCs w:val="24"/>
        </w:rPr>
        <w:t>wprowadza</w:t>
      </w:r>
      <w:r w:rsidR="00F83BF6" w:rsidRPr="00BF4F33">
        <w:rPr>
          <w:rFonts w:cs="Times New Roman"/>
          <w:szCs w:val="24"/>
        </w:rPr>
        <w:t xml:space="preserve"> również skróconą nazwę daniny – „podatek od nadzwyczajnych zysków” – stosowaną konsekwentnie w dalszych przepisach ustawy.</w:t>
      </w:r>
    </w:p>
    <w:p w14:paraId="614E5731" w14:textId="41531B75" w:rsidR="00313295" w:rsidRPr="00BF4F33" w:rsidRDefault="005A1DF9" w:rsidP="00BA1951">
      <w:pPr>
        <w:widowControl/>
        <w:spacing w:before="120"/>
        <w:jc w:val="both"/>
        <w:rPr>
          <w:rFonts w:cs="Times New Roman"/>
          <w:b/>
          <w:bCs/>
          <w:szCs w:val="24"/>
        </w:rPr>
      </w:pPr>
      <w:r w:rsidRPr="00BF4F33">
        <w:rPr>
          <w:rFonts w:cs="Times New Roman"/>
          <w:b/>
          <w:bCs/>
          <w:szCs w:val="24"/>
        </w:rPr>
        <w:t xml:space="preserve">Art. </w:t>
      </w:r>
      <w:r w:rsidR="00F158B3" w:rsidRPr="00BF4F33">
        <w:rPr>
          <w:rFonts w:cs="Times New Roman"/>
          <w:b/>
          <w:bCs/>
          <w:szCs w:val="24"/>
        </w:rPr>
        <w:t xml:space="preserve">2 </w:t>
      </w:r>
      <w:r w:rsidR="005056E5" w:rsidRPr="00BF4F33">
        <w:rPr>
          <w:rFonts w:cs="Times New Roman"/>
          <w:szCs w:val="24"/>
        </w:rPr>
        <w:t>–</w:t>
      </w:r>
      <w:r w:rsidR="00247929" w:rsidRPr="00BF4F33">
        <w:rPr>
          <w:rFonts w:cs="Times New Roman"/>
          <w:szCs w:val="24"/>
        </w:rPr>
        <w:t xml:space="preserve"> </w:t>
      </w:r>
      <w:r w:rsidR="009F206B" w:rsidRPr="00BF4F33">
        <w:rPr>
          <w:rFonts w:cs="Times New Roman"/>
          <w:szCs w:val="24"/>
        </w:rPr>
        <w:t xml:space="preserve">zawiera słowniczek </w:t>
      </w:r>
      <w:r w:rsidR="00B760BB" w:rsidRPr="00BF4F33">
        <w:rPr>
          <w:rFonts w:cs="Times New Roman"/>
          <w:szCs w:val="24"/>
        </w:rPr>
        <w:t>podstawowych pojęć używanych w ustawie.</w:t>
      </w:r>
      <w:r w:rsidR="00B760BB" w:rsidRPr="00BF4F33">
        <w:rPr>
          <w:rFonts w:cs="Times New Roman"/>
          <w:b/>
          <w:bCs/>
          <w:szCs w:val="24"/>
        </w:rPr>
        <w:t xml:space="preserve"> </w:t>
      </w:r>
    </w:p>
    <w:p w14:paraId="2DDEB3D6" w14:textId="2C511CAA" w:rsidR="009F206B" w:rsidRPr="00BF4F33" w:rsidRDefault="003D2504" w:rsidP="00BA1951">
      <w:pPr>
        <w:widowControl/>
        <w:spacing w:before="120"/>
        <w:jc w:val="both"/>
        <w:rPr>
          <w:rFonts w:cs="Times New Roman"/>
          <w:szCs w:val="24"/>
        </w:rPr>
      </w:pPr>
      <w:r w:rsidRPr="00BF4F33">
        <w:rPr>
          <w:rFonts w:cs="Times New Roman"/>
          <w:szCs w:val="24"/>
        </w:rPr>
        <w:t>Regulacj</w:t>
      </w:r>
      <w:r w:rsidR="00D25920" w:rsidRPr="00BF4F33">
        <w:rPr>
          <w:rFonts w:cs="Times New Roman"/>
          <w:szCs w:val="24"/>
        </w:rPr>
        <w:t>ę</w:t>
      </w:r>
      <w:r w:rsidRPr="00BF4F33">
        <w:rPr>
          <w:rFonts w:cs="Times New Roman"/>
          <w:szCs w:val="24"/>
        </w:rPr>
        <w:t xml:space="preserve"> tę otwiera </w:t>
      </w:r>
      <w:r w:rsidR="00A24E87" w:rsidRPr="00BF4F33">
        <w:rPr>
          <w:rFonts w:cs="Times New Roman"/>
          <w:szCs w:val="24"/>
        </w:rPr>
        <w:t>pojęcie</w:t>
      </w:r>
      <w:r w:rsidR="009F206B" w:rsidRPr="00BF4F33">
        <w:rPr>
          <w:rFonts w:cs="Times New Roman"/>
          <w:szCs w:val="24"/>
        </w:rPr>
        <w:t xml:space="preserve"> kosztów, które </w:t>
      </w:r>
      <w:r w:rsidR="001C7625" w:rsidRPr="00BF4F33">
        <w:rPr>
          <w:rFonts w:cs="Times New Roman"/>
          <w:szCs w:val="24"/>
        </w:rPr>
        <w:t>z</w:t>
      </w:r>
      <w:r w:rsidR="009F206B" w:rsidRPr="00BF4F33">
        <w:rPr>
          <w:rFonts w:cs="Times New Roman"/>
          <w:szCs w:val="24"/>
        </w:rPr>
        <w:t>definiowano jako koszty w rozumieniu ustawy o</w:t>
      </w:r>
      <w:r w:rsidR="00313295" w:rsidRPr="00BF4F33">
        <w:rPr>
          <w:rFonts w:cs="Times New Roman"/>
          <w:szCs w:val="24"/>
        </w:rPr>
        <w:t> </w:t>
      </w:r>
      <w:r w:rsidR="009F206B" w:rsidRPr="00BF4F33">
        <w:rPr>
          <w:rFonts w:cs="Times New Roman"/>
          <w:szCs w:val="24"/>
        </w:rPr>
        <w:t>rachunkowości lub standardów, o których mowa w art. 2 ust. 3 tej ustawy, określone na podstawie prawidłowo prowadzonych ksiąg rachunkowych.</w:t>
      </w:r>
      <w:r w:rsidR="00313295" w:rsidRPr="00BF4F33">
        <w:rPr>
          <w:rFonts w:cs="Times New Roman"/>
          <w:szCs w:val="24"/>
        </w:rPr>
        <w:t xml:space="preserve"> Wyjątkowo, w przypadku gdy podatnik nie był w danym okresie zobowiązany do prowadzenia ksiąg rachunkowych projekt dopuszcza w tym zakresie posłużenie się ewidencją prowadzoną przez podatnika do celów podatku dochodowego. Ta sama zasada odnosi się do definicji przychodów. </w:t>
      </w:r>
      <w:r w:rsidR="00B901F1" w:rsidRPr="00BF4F33">
        <w:rPr>
          <w:rFonts w:cs="Times New Roman"/>
          <w:szCs w:val="24"/>
        </w:rPr>
        <w:t xml:space="preserve">Umożliwia to objęcie opodatkowaniem również podatników, którzy nie są zobowiązani do prowadzenia pełnej rachunkowości, przy jednoczesnym zapewnieniu wiarygodnej podstawy obliczeniowej opartej na danych podatkowych. </w:t>
      </w:r>
    </w:p>
    <w:p w14:paraId="1C7F4516" w14:textId="1F8E4CA5" w:rsidR="00B901F1" w:rsidRPr="00BF4F33" w:rsidRDefault="009F206B" w:rsidP="00BA1951">
      <w:pPr>
        <w:widowControl/>
        <w:spacing w:before="120"/>
        <w:jc w:val="both"/>
        <w:rPr>
          <w:rFonts w:cs="Times New Roman"/>
          <w:szCs w:val="24"/>
        </w:rPr>
      </w:pPr>
      <w:r w:rsidRPr="00BF4F33">
        <w:rPr>
          <w:rFonts w:cs="Times New Roman"/>
          <w:szCs w:val="24"/>
        </w:rPr>
        <w:t xml:space="preserve">Pkt 2 zawiera </w:t>
      </w:r>
      <w:r w:rsidR="003D2504" w:rsidRPr="00BF4F33">
        <w:rPr>
          <w:rFonts w:cs="Times New Roman"/>
          <w:szCs w:val="24"/>
        </w:rPr>
        <w:t>definicj</w:t>
      </w:r>
      <w:r w:rsidRPr="00BF4F33">
        <w:rPr>
          <w:rFonts w:cs="Times New Roman"/>
          <w:szCs w:val="24"/>
        </w:rPr>
        <w:t>ę</w:t>
      </w:r>
      <w:r w:rsidR="003D2504" w:rsidRPr="00BF4F33">
        <w:rPr>
          <w:rFonts w:cs="Times New Roman"/>
          <w:szCs w:val="24"/>
        </w:rPr>
        <w:t xml:space="preserve"> paliw ciekłych, które to pojęcie należy rozumieć zgodnie </w:t>
      </w:r>
      <w:r w:rsidR="00A24E87" w:rsidRPr="00BF4F33">
        <w:rPr>
          <w:rFonts w:cs="Times New Roman"/>
          <w:szCs w:val="24"/>
        </w:rPr>
        <w:t>z treścią</w:t>
      </w:r>
      <w:r w:rsidR="003D2504" w:rsidRPr="00BF4F33">
        <w:rPr>
          <w:rFonts w:cs="Times New Roman"/>
          <w:szCs w:val="24"/>
        </w:rPr>
        <w:t xml:space="preserve"> art.</w:t>
      </w:r>
      <w:r w:rsidR="00F4354B">
        <w:rPr>
          <w:rFonts w:cs="Times New Roman"/>
          <w:szCs w:val="24"/>
        </w:rPr>
        <w:t> </w:t>
      </w:r>
      <w:r w:rsidR="003D2504" w:rsidRPr="00BF4F33">
        <w:rPr>
          <w:rFonts w:cs="Times New Roman"/>
          <w:szCs w:val="24"/>
        </w:rPr>
        <w:t xml:space="preserve">2 ust. 1 pkt 4 ustawy z dnia 25 sierpnia 2006 r. o systemie monitorowania i kontrolowania jakości paliw (Dz. U. z 2025 r. poz. 1529). Odwołanie do definicji zawartej w tej ustawie zapewnia spójność terminologiczną z obowiązującym systemem prawnym i eliminuje ryzyko rozbieżności interpretacyjnych co do zakresu regulacji. </w:t>
      </w:r>
      <w:r w:rsidR="004760B7" w:rsidRPr="00BF4F33">
        <w:rPr>
          <w:rFonts w:cs="Times New Roman"/>
          <w:szCs w:val="24"/>
        </w:rPr>
        <w:t>Omawiana definicja wyraźnie wyłącza z zakresu pojęcia paliw ciekłych oleje opałowe zdefiniowane odrębnie w art. 2 ust. 1 pkt 8 i 9 przywołanej ustawy, co precyzyjnie zawęża krąg podmiotów zobowiązanych do branży faktycznie korzystającej z nadzwyczajnych marż spowodowanych kryzysem.</w:t>
      </w:r>
    </w:p>
    <w:p w14:paraId="48CC07AC" w14:textId="278E632C" w:rsidR="004642DD" w:rsidRPr="00BF4F33" w:rsidRDefault="004642DD" w:rsidP="00BA1951">
      <w:pPr>
        <w:widowControl/>
        <w:spacing w:before="120"/>
        <w:jc w:val="both"/>
        <w:rPr>
          <w:rFonts w:cs="Times New Roman"/>
          <w:szCs w:val="24"/>
        </w:rPr>
      </w:pPr>
      <w:r w:rsidRPr="00BF4F33">
        <w:rPr>
          <w:rFonts w:cs="Times New Roman"/>
          <w:szCs w:val="24"/>
        </w:rPr>
        <w:t>Treścią pkt 3 analizowanego artykułu jest określenie znaczenia terminu</w:t>
      </w:r>
      <w:r w:rsidR="00A24E87" w:rsidRPr="00BF4F33">
        <w:rPr>
          <w:rFonts w:cs="Times New Roman"/>
          <w:szCs w:val="24"/>
        </w:rPr>
        <w:t xml:space="preserve"> </w:t>
      </w:r>
      <w:r w:rsidR="009B6F36" w:rsidRPr="00BF4F33">
        <w:rPr>
          <w:rFonts w:cs="Times New Roman"/>
          <w:szCs w:val="24"/>
        </w:rPr>
        <w:t>„</w:t>
      </w:r>
      <w:r w:rsidRPr="00BF4F33">
        <w:rPr>
          <w:rFonts w:cs="Times New Roman"/>
          <w:szCs w:val="24"/>
        </w:rPr>
        <w:t>podmiot</w:t>
      </w:r>
      <w:r w:rsidR="009B6F36" w:rsidRPr="00BF4F33">
        <w:rPr>
          <w:rFonts w:cs="Times New Roman"/>
          <w:szCs w:val="24"/>
        </w:rPr>
        <w:t>”</w:t>
      </w:r>
      <w:r w:rsidRPr="00BF4F33">
        <w:rPr>
          <w:rFonts w:cs="Times New Roman"/>
          <w:szCs w:val="24"/>
        </w:rPr>
        <w:t xml:space="preserve">, które to pojęcie na gruncie projektowanych przepisów oznacza osobę fizyczną, osobę prawną </w:t>
      </w:r>
      <w:r w:rsidR="00A24E87" w:rsidRPr="00BF4F33">
        <w:rPr>
          <w:rFonts w:cs="Times New Roman"/>
          <w:szCs w:val="24"/>
        </w:rPr>
        <w:t>lub</w:t>
      </w:r>
      <w:r w:rsidRPr="00BF4F33">
        <w:rPr>
          <w:rFonts w:cs="Times New Roman"/>
          <w:szCs w:val="24"/>
        </w:rPr>
        <w:t xml:space="preserve"> jednostkę organizacyjną niebędącą osobą prawną.</w:t>
      </w:r>
    </w:p>
    <w:p w14:paraId="7DFFCF29" w14:textId="1D77D9D7" w:rsidR="00F12B48" w:rsidRPr="00BF4F33" w:rsidRDefault="00F12B48" w:rsidP="00BA1951">
      <w:pPr>
        <w:widowControl/>
        <w:spacing w:before="120"/>
        <w:jc w:val="both"/>
        <w:rPr>
          <w:rFonts w:cs="Times New Roman"/>
          <w:szCs w:val="24"/>
        </w:rPr>
      </w:pPr>
      <w:r w:rsidRPr="00BF4F33">
        <w:rPr>
          <w:rFonts w:cs="Times New Roman"/>
          <w:szCs w:val="24"/>
        </w:rPr>
        <w:t>Przychody zdefiniowano</w:t>
      </w:r>
      <w:r w:rsidR="009F206B" w:rsidRPr="00BF4F33">
        <w:rPr>
          <w:rFonts w:cs="Times New Roman"/>
          <w:szCs w:val="24"/>
        </w:rPr>
        <w:t xml:space="preserve"> w ramach pkt </w:t>
      </w:r>
      <w:r w:rsidR="004642DD" w:rsidRPr="00BF4F33">
        <w:rPr>
          <w:rFonts w:cs="Times New Roman"/>
          <w:szCs w:val="24"/>
        </w:rPr>
        <w:t>4</w:t>
      </w:r>
      <w:r w:rsidRPr="00BF4F33">
        <w:rPr>
          <w:rFonts w:cs="Times New Roman"/>
          <w:szCs w:val="24"/>
        </w:rPr>
        <w:t xml:space="preserve"> poprzez odesłanie do znaczenia tego terminu funkcjonującego na gruncie art. 3 ust. 1 pkt 30a ustawy o rachunkowości. W kontekście zakresu podmiotowego projektowanej daniny oznacza to tym samym, że jednostki stosujące przepisy ustawy o rachunkowości powinny utożsamiać przychód, o którym mowa w projektowanych </w:t>
      </w:r>
      <w:r w:rsidRPr="00BF4F33">
        <w:rPr>
          <w:rFonts w:cs="Times New Roman"/>
          <w:szCs w:val="24"/>
        </w:rPr>
        <w:lastRenderedPageBreak/>
        <w:t>przepisach</w:t>
      </w:r>
      <w:r w:rsidR="00CA0686" w:rsidRPr="00BF4F33">
        <w:rPr>
          <w:rFonts w:cs="Times New Roman"/>
          <w:szCs w:val="24"/>
        </w:rPr>
        <w:t>,</w:t>
      </w:r>
      <w:r w:rsidRPr="00BF4F33">
        <w:rPr>
          <w:rFonts w:cs="Times New Roman"/>
          <w:szCs w:val="24"/>
        </w:rPr>
        <w:t xml:space="preserve"> z przychodem netto ze sprzedaży towarów i produktów, z uwzględnieniem dotacji, opustów, rabatów i innych zwiększeń lub zmniejszeń, bez podatku VAT i innych podatków bezpośrednio związanych z obrotem. Z kolei podmioty stosujące Międzynarodowe Standardy Rachunkowości powinny obliczać przychód w oparciu o przychody umów z klientami w</w:t>
      </w:r>
      <w:r w:rsidR="00B901F1" w:rsidRPr="00BF4F33">
        <w:rPr>
          <w:rFonts w:cs="Times New Roman"/>
          <w:szCs w:val="24"/>
        </w:rPr>
        <w:t> </w:t>
      </w:r>
      <w:r w:rsidRPr="00BF4F33">
        <w:rPr>
          <w:rFonts w:cs="Times New Roman"/>
          <w:szCs w:val="24"/>
        </w:rPr>
        <w:t>rozumieniu MSR (art. 3 ust.</w:t>
      </w:r>
      <w:r w:rsidR="009B6F36" w:rsidRPr="00BF4F33">
        <w:rPr>
          <w:rFonts w:cs="Times New Roman"/>
          <w:szCs w:val="24"/>
        </w:rPr>
        <w:t xml:space="preserve"> 1</w:t>
      </w:r>
      <w:r w:rsidRPr="00BF4F33">
        <w:rPr>
          <w:rFonts w:cs="Times New Roman"/>
          <w:szCs w:val="24"/>
        </w:rPr>
        <w:t xml:space="preserve"> pkt 30a lit. b ustawy o rachunkowości). Zaproponowany kształt definicji zapewnia spójne traktowanie jednostek stosujących krajowe i międzynarodowe standardy rachunkowości. </w:t>
      </w:r>
    </w:p>
    <w:p w14:paraId="2C2FF2E9" w14:textId="0F8DD5FA" w:rsidR="001704B2" w:rsidRPr="00BF4F33" w:rsidRDefault="001C7625" w:rsidP="00BA1951">
      <w:pPr>
        <w:widowControl/>
        <w:spacing w:before="120"/>
        <w:jc w:val="both"/>
        <w:rPr>
          <w:rFonts w:cs="Times New Roman"/>
          <w:szCs w:val="24"/>
        </w:rPr>
      </w:pPr>
      <w:r w:rsidRPr="00BF4F33">
        <w:rPr>
          <w:rFonts w:cs="Times New Roman"/>
          <w:szCs w:val="24"/>
        </w:rPr>
        <w:t>W odniesieniu do przychodów i kosztów</w:t>
      </w:r>
      <w:r w:rsidR="00B901F1" w:rsidRPr="00BF4F33">
        <w:rPr>
          <w:rFonts w:cs="Times New Roman"/>
          <w:szCs w:val="24"/>
        </w:rPr>
        <w:t>, odpowiednio, osiąganych albo ponoszonych</w:t>
      </w:r>
      <w:r w:rsidRPr="00BF4F33">
        <w:rPr>
          <w:rFonts w:cs="Times New Roman"/>
          <w:szCs w:val="24"/>
        </w:rPr>
        <w:t xml:space="preserve"> </w:t>
      </w:r>
      <w:r w:rsidR="00B901F1" w:rsidRPr="00BF4F33">
        <w:rPr>
          <w:rFonts w:cs="Times New Roman"/>
          <w:szCs w:val="24"/>
        </w:rPr>
        <w:t xml:space="preserve">w relacjach z podmiotami powiązanymi </w:t>
      </w:r>
      <w:r w:rsidRPr="00BF4F33">
        <w:rPr>
          <w:rFonts w:cs="Times New Roman"/>
          <w:szCs w:val="24"/>
        </w:rPr>
        <w:t>ich wysokość powinna być ustalona zgodnie z zasadą ceny rynkowej</w:t>
      </w:r>
      <w:r w:rsidR="00B901F1" w:rsidRPr="00BF4F33">
        <w:rPr>
          <w:rFonts w:cs="Times New Roman"/>
          <w:szCs w:val="24"/>
        </w:rPr>
        <w:t>, wynikającą z ustawy o podatku dochodowym od osób fizycznych oraz ustawy o podatku dochodowym od osób prawnych</w:t>
      </w:r>
      <w:r w:rsidR="00747B13">
        <w:rPr>
          <w:rFonts w:cs="Times New Roman"/>
          <w:szCs w:val="24"/>
        </w:rPr>
        <w:t xml:space="preserve"> </w:t>
      </w:r>
      <w:r w:rsidRPr="00BF4F33">
        <w:rPr>
          <w:rFonts w:cs="Times New Roman"/>
          <w:szCs w:val="24"/>
        </w:rPr>
        <w:t>(</w:t>
      </w:r>
      <w:r w:rsidR="00F505B6" w:rsidRPr="00BF4F33">
        <w:rPr>
          <w:rFonts w:cs="Times New Roman"/>
          <w:szCs w:val="24"/>
        </w:rPr>
        <w:t xml:space="preserve">wyjaśnionej </w:t>
      </w:r>
      <w:r w:rsidRPr="00BF4F33">
        <w:rPr>
          <w:rFonts w:cs="Times New Roman"/>
          <w:szCs w:val="24"/>
        </w:rPr>
        <w:t xml:space="preserve">w ramach wieńczącego katalog definicji ustawowych pkt </w:t>
      </w:r>
      <w:r w:rsidR="002F3359" w:rsidRPr="00BF4F33">
        <w:rPr>
          <w:rFonts w:cs="Times New Roman"/>
          <w:szCs w:val="24"/>
        </w:rPr>
        <w:t>6</w:t>
      </w:r>
      <w:r w:rsidRPr="00BF4F33">
        <w:rPr>
          <w:rFonts w:cs="Times New Roman"/>
          <w:szCs w:val="24"/>
        </w:rPr>
        <w:t>)</w:t>
      </w:r>
      <w:r w:rsidR="000121D9" w:rsidRPr="00BF4F33">
        <w:rPr>
          <w:rFonts w:cs="Times New Roman"/>
          <w:szCs w:val="24"/>
        </w:rPr>
        <w:t xml:space="preserve">. </w:t>
      </w:r>
      <w:r w:rsidR="008F780E" w:rsidRPr="00BF4F33">
        <w:rPr>
          <w:rFonts w:cs="Times New Roman"/>
          <w:szCs w:val="24"/>
        </w:rPr>
        <w:t>Uwzględnianie dyspozycji płynących z zasady ceny rynkowej zmierza do wyeliminowania ryzyka manipulacji marżą (wartościami przychodów i kosztów) między podmiotami powiązanymi w celu uniknięcia opodatkowania projektowaną regulacją (sztucznego zmniejszenia wykazywanej marży na sprzedaży paliw ciekłych). Jednocześnie wszystkie pojęcia dotyczące stosowania zasady cen rynkowej powinny być rozumiane zgodnie z przepisami Rozdziału 1a ustawy o podatku dochodowym od osób prawnych oraz Rozdziału 4b ustawy o podatku dochodowym od osób fizycznych</w:t>
      </w:r>
      <w:r w:rsidR="001704B2" w:rsidRPr="00BF4F33">
        <w:rPr>
          <w:rFonts w:cs="Times New Roman"/>
          <w:szCs w:val="24"/>
        </w:rPr>
        <w:t>.</w:t>
      </w:r>
    </w:p>
    <w:p w14:paraId="124F21E7" w14:textId="58680268" w:rsidR="0081106B" w:rsidRPr="00BF4F33" w:rsidRDefault="006F2A44" w:rsidP="00BA1951">
      <w:pPr>
        <w:widowControl/>
        <w:spacing w:before="120"/>
        <w:jc w:val="both"/>
        <w:rPr>
          <w:rFonts w:cs="Times New Roman"/>
          <w:bCs/>
          <w:szCs w:val="24"/>
        </w:rPr>
      </w:pPr>
      <w:r w:rsidRPr="00BF4F33">
        <w:rPr>
          <w:rFonts w:cs="Times New Roman"/>
          <w:szCs w:val="24"/>
        </w:rPr>
        <w:t>Treści</w:t>
      </w:r>
      <w:r w:rsidR="009B6F36" w:rsidRPr="00BF4F33">
        <w:rPr>
          <w:rFonts w:cs="Times New Roman"/>
          <w:szCs w:val="24"/>
        </w:rPr>
        <w:t>ą</w:t>
      </w:r>
      <w:r w:rsidRPr="00BF4F33">
        <w:rPr>
          <w:rFonts w:cs="Times New Roman"/>
          <w:szCs w:val="24"/>
        </w:rPr>
        <w:t xml:space="preserve"> pkt </w:t>
      </w:r>
      <w:r w:rsidR="004760B7" w:rsidRPr="00BF4F33">
        <w:rPr>
          <w:rFonts w:cs="Times New Roman"/>
          <w:szCs w:val="24"/>
        </w:rPr>
        <w:t xml:space="preserve">5 </w:t>
      </w:r>
      <w:r w:rsidRPr="00BF4F33">
        <w:rPr>
          <w:rFonts w:cs="Times New Roman"/>
          <w:szCs w:val="24"/>
        </w:rPr>
        <w:t>jest wyjaśnienie, w jaki sposób należy rozumieć termin wytwarzani</w:t>
      </w:r>
      <w:r w:rsidR="00F85D1D" w:rsidRPr="00BF4F33">
        <w:rPr>
          <w:rFonts w:cs="Times New Roman"/>
          <w:szCs w:val="24"/>
        </w:rPr>
        <w:t>e paliw ciekłych</w:t>
      </w:r>
      <w:r w:rsidR="004760B7" w:rsidRPr="00BF4F33">
        <w:rPr>
          <w:rFonts w:cs="Times New Roman"/>
          <w:szCs w:val="24"/>
        </w:rPr>
        <w:t>.</w:t>
      </w:r>
      <w:r w:rsidRPr="00BF4F33">
        <w:rPr>
          <w:rFonts w:cs="Times New Roman"/>
          <w:szCs w:val="24"/>
        </w:rPr>
        <w:t xml:space="preserve"> Zgodnie z treścią tego przepisu wytwarzanie</w:t>
      </w:r>
      <w:r w:rsidR="00F85D1D" w:rsidRPr="00BF4F33">
        <w:rPr>
          <w:rFonts w:cs="Times New Roman"/>
          <w:szCs w:val="24"/>
        </w:rPr>
        <w:t>m paliw ciekłych</w:t>
      </w:r>
      <w:r w:rsidRPr="00BF4F33">
        <w:rPr>
          <w:rFonts w:cs="Times New Roman"/>
          <w:szCs w:val="24"/>
        </w:rPr>
        <w:t xml:space="preserve"> na potrzeby projektowanej regulacji </w:t>
      </w:r>
      <w:r w:rsidR="00F85D1D" w:rsidRPr="00BF4F33">
        <w:rPr>
          <w:rFonts w:cs="Times New Roman"/>
          <w:szCs w:val="24"/>
        </w:rPr>
        <w:t xml:space="preserve">jest </w:t>
      </w:r>
      <w:r w:rsidR="00F85D1D" w:rsidRPr="00BF4F33">
        <w:rPr>
          <w:rFonts w:cs="Times New Roman"/>
          <w:bCs/>
          <w:szCs w:val="24"/>
        </w:rPr>
        <w:t>produkcja takich paliw w instalacjach wytwarzania paliw ciekłych, w rozumieniu art. 3 pkt 10e ustawy z dnia 10 kwietnia 1997 r. – Prawo energetyczne (Dz. U. z</w:t>
      </w:r>
      <w:r w:rsidR="00561532" w:rsidRPr="00BF4F33">
        <w:rPr>
          <w:rFonts w:cs="Times New Roman"/>
          <w:bCs/>
          <w:szCs w:val="24"/>
        </w:rPr>
        <w:t> </w:t>
      </w:r>
      <w:r w:rsidR="00F85D1D" w:rsidRPr="00BF4F33">
        <w:rPr>
          <w:rFonts w:cs="Times New Roman"/>
          <w:bCs/>
          <w:szCs w:val="24"/>
        </w:rPr>
        <w:t xml:space="preserve">2026 r. poz. 43, 516 i 607), w procesie przerobu ropy naftowej. Jest to zatem definicja węższa niż definicja „wytwarzania” zawarta w art. 3 pkt 45 lit. b ustawy – Prawo energetyczne, gdyż nie obejmuje ona innych sposobów wytwarzania paliw ciekłych, niż następujących poprzez proces przerobu (rafinacji) ropy naftowej. </w:t>
      </w:r>
      <w:r w:rsidRPr="00BF4F33">
        <w:rPr>
          <w:rFonts w:cs="Times New Roman"/>
          <w:szCs w:val="24"/>
        </w:rPr>
        <w:t>Z</w:t>
      </w:r>
      <w:r w:rsidR="0081106B" w:rsidRPr="00BF4F33">
        <w:rPr>
          <w:rFonts w:cs="Times New Roman"/>
          <w:szCs w:val="24"/>
        </w:rPr>
        <w:t> </w:t>
      </w:r>
      <w:r w:rsidRPr="00BF4F33">
        <w:rPr>
          <w:rFonts w:cs="Times New Roman"/>
          <w:szCs w:val="24"/>
        </w:rPr>
        <w:t xml:space="preserve">uwagi na tak ukształtowaną treść </w:t>
      </w:r>
      <w:r w:rsidR="00F85D1D" w:rsidRPr="00BF4F33">
        <w:rPr>
          <w:rFonts w:cs="Times New Roman"/>
          <w:szCs w:val="24"/>
        </w:rPr>
        <w:t xml:space="preserve">omawianej </w:t>
      </w:r>
      <w:r w:rsidRPr="00BF4F33">
        <w:rPr>
          <w:rFonts w:cs="Times New Roman"/>
          <w:szCs w:val="24"/>
        </w:rPr>
        <w:t xml:space="preserve">definicji poza jej zakresem znajduje się wytwarzanie paliw ciekłych prowadzone </w:t>
      </w:r>
      <w:r w:rsidR="00F85D1D" w:rsidRPr="00BF4F33">
        <w:rPr>
          <w:rFonts w:cs="Times New Roman"/>
          <w:szCs w:val="24"/>
        </w:rPr>
        <w:t xml:space="preserve">m.in. </w:t>
      </w:r>
      <w:r w:rsidRPr="00BF4F33">
        <w:rPr>
          <w:rFonts w:cs="Times New Roman"/>
          <w:szCs w:val="24"/>
        </w:rPr>
        <w:t>w</w:t>
      </w:r>
      <w:r w:rsidR="00561532" w:rsidRPr="00BF4F33">
        <w:rPr>
          <w:rFonts w:cs="Times New Roman"/>
          <w:szCs w:val="24"/>
        </w:rPr>
        <w:t> </w:t>
      </w:r>
      <w:r w:rsidRPr="00BF4F33">
        <w:rPr>
          <w:rFonts w:cs="Times New Roman"/>
          <w:szCs w:val="24"/>
        </w:rPr>
        <w:t xml:space="preserve">procesach </w:t>
      </w:r>
      <w:r w:rsidR="0081106B" w:rsidRPr="00BF4F33">
        <w:rPr>
          <w:rFonts w:cs="Times New Roman"/>
          <w:szCs w:val="24"/>
        </w:rPr>
        <w:t xml:space="preserve">mieszania komponentów lub paliw ciekłych lub poprzez mieszanie komponentów z paliwami ciekłymi (tzw. blending). </w:t>
      </w:r>
    </w:p>
    <w:p w14:paraId="163EBFCB" w14:textId="2A7E9EC0" w:rsidR="00B760BB" w:rsidRPr="00BF4F33" w:rsidRDefault="006113E5" w:rsidP="00BA1951">
      <w:pPr>
        <w:widowControl/>
        <w:spacing w:before="120"/>
        <w:jc w:val="both"/>
        <w:rPr>
          <w:rFonts w:cs="Times New Roman"/>
          <w:szCs w:val="24"/>
        </w:rPr>
      </w:pPr>
      <w:r w:rsidRPr="00BF4F33">
        <w:rPr>
          <w:rFonts w:cs="Times New Roman"/>
          <w:b/>
          <w:bCs/>
          <w:szCs w:val="24"/>
        </w:rPr>
        <w:t xml:space="preserve">Art. </w:t>
      </w:r>
      <w:r w:rsidR="00F158B3" w:rsidRPr="00BF4F33">
        <w:rPr>
          <w:rFonts w:cs="Times New Roman"/>
          <w:b/>
          <w:bCs/>
          <w:szCs w:val="24"/>
        </w:rPr>
        <w:t>3</w:t>
      </w:r>
      <w:r w:rsidRPr="00BF4F33">
        <w:rPr>
          <w:rFonts w:cs="Times New Roman"/>
          <w:b/>
          <w:bCs/>
          <w:szCs w:val="24"/>
        </w:rPr>
        <w:t>.</w:t>
      </w:r>
      <w:r w:rsidR="00CA0686" w:rsidRPr="00BF4F33">
        <w:rPr>
          <w:rFonts w:cs="Times New Roman"/>
          <w:b/>
          <w:bCs/>
          <w:szCs w:val="24"/>
        </w:rPr>
        <w:t xml:space="preserve"> </w:t>
      </w:r>
      <w:r w:rsidR="00CA0686" w:rsidRPr="00BF4F33">
        <w:rPr>
          <w:rFonts w:cs="Times New Roman"/>
          <w:szCs w:val="24"/>
        </w:rPr>
        <w:t>–</w:t>
      </w:r>
      <w:r w:rsidR="00247929" w:rsidRPr="00BF4F33">
        <w:rPr>
          <w:rFonts w:cs="Times New Roman"/>
          <w:szCs w:val="24"/>
        </w:rPr>
        <w:t xml:space="preserve"> </w:t>
      </w:r>
      <w:r w:rsidR="00205C70" w:rsidRPr="00BF4F33">
        <w:rPr>
          <w:rFonts w:cs="Times New Roman"/>
          <w:szCs w:val="24"/>
        </w:rPr>
        <w:t xml:space="preserve">przesądza, że wpływy z omawianego podatku </w:t>
      </w:r>
      <w:r w:rsidR="003E4E08" w:rsidRPr="00BF4F33">
        <w:rPr>
          <w:rFonts w:cs="Times New Roman"/>
          <w:szCs w:val="24"/>
        </w:rPr>
        <w:t xml:space="preserve">stanowią dochód </w:t>
      </w:r>
      <w:r w:rsidR="00205C70" w:rsidRPr="00BF4F33">
        <w:rPr>
          <w:rFonts w:cs="Times New Roman"/>
          <w:szCs w:val="24"/>
        </w:rPr>
        <w:t>budżet państwa</w:t>
      </w:r>
      <w:r w:rsidR="00B760BB" w:rsidRPr="00BF4F33">
        <w:rPr>
          <w:rFonts w:cs="Times New Roman"/>
          <w:szCs w:val="24"/>
        </w:rPr>
        <w:t>.</w:t>
      </w:r>
    </w:p>
    <w:p w14:paraId="37C8A5ED" w14:textId="569CE585" w:rsidR="00F158B3" w:rsidRPr="00BF4F33" w:rsidRDefault="00F158B3" w:rsidP="00BA1951">
      <w:pPr>
        <w:widowControl/>
        <w:spacing w:before="120"/>
        <w:jc w:val="both"/>
        <w:rPr>
          <w:rFonts w:cs="Times New Roman"/>
          <w:szCs w:val="24"/>
        </w:rPr>
      </w:pPr>
      <w:r w:rsidRPr="00BF4F33">
        <w:rPr>
          <w:rFonts w:cs="Times New Roman"/>
          <w:b/>
          <w:bCs/>
          <w:szCs w:val="24"/>
        </w:rPr>
        <w:t>Art. 4</w:t>
      </w:r>
      <w:r w:rsidRPr="00BF4F33">
        <w:rPr>
          <w:rFonts w:cs="Times New Roman"/>
          <w:szCs w:val="24"/>
        </w:rPr>
        <w:t xml:space="preserve"> – określa rok podatkowy jako okres od dnia 1 marca 2026 r. do dnia 31 grudnia 2026 r.</w:t>
      </w:r>
    </w:p>
    <w:p w14:paraId="110C98FB" w14:textId="4F568CCB" w:rsidR="006567F6" w:rsidRPr="00BF4F33" w:rsidRDefault="005264BA" w:rsidP="00BA1951">
      <w:pPr>
        <w:widowControl/>
        <w:spacing w:before="120"/>
        <w:jc w:val="both"/>
        <w:rPr>
          <w:rFonts w:cs="Times New Roman"/>
          <w:szCs w:val="24"/>
        </w:rPr>
      </w:pPr>
      <w:r w:rsidRPr="00BF4F33">
        <w:rPr>
          <w:rFonts w:cs="Times New Roman"/>
          <w:b/>
          <w:bCs/>
          <w:szCs w:val="24"/>
        </w:rPr>
        <w:lastRenderedPageBreak/>
        <w:t xml:space="preserve">Art. </w:t>
      </w:r>
      <w:r w:rsidR="004760B7" w:rsidRPr="00BF4F33">
        <w:rPr>
          <w:rFonts w:cs="Times New Roman"/>
          <w:b/>
          <w:bCs/>
          <w:szCs w:val="24"/>
        </w:rPr>
        <w:t>5</w:t>
      </w:r>
      <w:r w:rsidR="004760B7" w:rsidRPr="00BF4F33">
        <w:rPr>
          <w:rFonts w:cs="Times New Roman"/>
          <w:szCs w:val="24"/>
        </w:rPr>
        <w:t xml:space="preserve"> </w:t>
      </w:r>
      <w:r w:rsidRPr="00BF4F33">
        <w:rPr>
          <w:rFonts w:cs="Times New Roman"/>
          <w:szCs w:val="24"/>
        </w:rPr>
        <w:t xml:space="preserve">– </w:t>
      </w:r>
      <w:r w:rsidR="00247929" w:rsidRPr="00BF4F33">
        <w:rPr>
          <w:rFonts w:cs="Times New Roman"/>
          <w:szCs w:val="24"/>
        </w:rPr>
        <w:t>określa</w:t>
      </w:r>
      <w:r w:rsidR="00662527" w:rsidRPr="00BF4F33">
        <w:rPr>
          <w:rFonts w:cs="Times New Roman"/>
          <w:szCs w:val="24"/>
        </w:rPr>
        <w:t xml:space="preserve"> kr</w:t>
      </w:r>
      <w:r w:rsidR="00247929" w:rsidRPr="00BF4F33">
        <w:rPr>
          <w:rFonts w:cs="Times New Roman"/>
          <w:szCs w:val="24"/>
        </w:rPr>
        <w:t>ąg</w:t>
      </w:r>
      <w:r w:rsidR="00662527" w:rsidRPr="00BF4F33">
        <w:rPr>
          <w:rFonts w:cs="Times New Roman"/>
          <w:szCs w:val="24"/>
        </w:rPr>
        <w:t xml:space="preserve"> </w:t>
      </w:r>
      <w:r w:rsidRPr="00BF4F33">
        <w:rPr>
          <w:rFonts w:cs="Times New Roman"/>
          <w:szCs w:val="24"/>
        </w:rPr>
        <w:t xml:space="preserve">podatników podatku od nadzwyczajnych zysków. </w:t>
      </w:r>
      <w:r w:rsidR="009E786F" w:rsidRPr="00BF4F33">
        <w:rPr>
          <w:rFonts w:cs="Times New Roman"/>
          <w:szCs w:val="24"/>
        </w:rPr>
        <w:t xml:space="preserve">Zakres podmiotowy regulacji obejmuje dwie kategorie podatników. Pierwszą stanowią </w:t>
      </w:r>
      <w:r w:rsidR="00662527" w:rsidRPr="00BF4F33">
        <w:rPr>
          <w:rFonts w:cs="Times New Roman"/>
          <w:szCs w:val="24"/>
        </w:rPr>
        <w:t xml:space="preserve">podmioty </w:t>
      </w:r>
      <w:r w:rsidR="009E786F" w:rsidRPr="00BF4F33">
        <w:rPr>
          <w:rFonts w:cs="Times New Roman"/>
          <w:szCs w:val="24"/>
        </w:rPr>
        <w:t>prowadząc</w:t>
      </w:r>
      <w:r w:rsidR="00662527" w:rsidRPr="00BF4F33">
        <w:rPr>
          <w:rFonts w:cs="Times New Roman"/>
          <w:szCs w:val="24"/>
        </w:rPr>
        <w:t>e</w:t>
      </w:r>
      <w:r w:rsidR="009E786F" w:rsidRPr="00BF4F33">
        <w:rPr>
          <w:rFonts w:cs="Times New Roman"/>
          <w:szCs w:val="24"/>
        </w:rPr>
        <w:t xml:space="preserve"> na terytorium Rzeczypospolitej Polskiej</w:t>
      </w:r>
      <w:r w:rsidR="00A24E87" w:rsidRPr="00BF4F33">
        <w:rPr>
          <w:rFonts w:cs="Times New Roman"/>
          <w:szCs w:val="24"/>
        </w:rPr>
        <w:t xml:space="preserve"> (samodzielnie lub za pośrednictwem innego podmiotu)</w:t>
      </w:r>
      <w:r w:rsidR="009E786F" w:rsidRPr="00BF4F33">
        <w:rPr>
          <w:rFonts w:cs="Times New Roman"/>
          <w:szCs w:val="24"/>
        </w:rPr>
        <w:t xml:space="preserve"> działalność w zakresie wytwarzania paliw ciekłych</w:t>
      </w:r>
      <w:r w:rsidR="003E4E08" w:rsidRPr="00BF4F33">
        <w:rPr>
          <w:rFonts w:cs="Times New Roman"/>
          <w:szCs w:val="24"/>
        </w:rPr>
        <w:t xml:space="preserve"> (w rozumieniu omawianej ustawy)</w:t>
      </w:r>
      <w:r w:rsidR="009E786F" w:rsidRPr="00BF4F33">
        <w:rPr>
          <w:rFonts w:cs="Times New Roman"/>
          <w:szCs w:val="24"/>
        </w:rPr>
        <w:t>.</w:t>
      </w:r>
      <w:r w:rsidR="00A24E87" w:rsidRPr="00BF4F33">
        <w:rPr>
          <w:rFonts w:cs="Times New Roman"/>
          <w:szCs w:val="24"/>
        </w:rPr>
        <w:t xml:space="preserve"> </w:t>
      </w:r>
      <w:r w:rsidR="009E786F" w:rsidRPr="00BF4F33">
        <w:rPr>
          <w:rFonts w:cs="Times New Roman"/>
          <w:szCs w:val="24"/>
        </w:rPr>
        <w:t xml:space="preserve">Drugą kategorię </w:t>
      </w:r>
      <w:r w:rsidR="004642DD" w:rsidRPr="00BF4F33">
        <w:rPr>
          <w:rFonts w:cs="Times New Roman"/>
          <w:szCs w:val="24"/>
        </w:rPr>
        <w:t xml:space="preserve">stanowią </w:t>
      </w:r>
      <w:r w:rsidR="00662527" w:rsidRPr="00BF4F33">
        <w:rPr>
          <w:rFonts w:cs="Times New Roman"/>
          <w:szCs w:val="24"/>
        </w:rPr>
        <w:t xml:space="preserve">podmioty </w:t>
      </w:r>
      <w:r w:rsidR="009E786F" w:rsidRPr="00BF4F33">
        <w:rPr>
          <w:rFonts w:cs="Times New Roman"/>
          <w:szCs w:val="24"/>
        </w:rPr>
        <w:t>dokonując</w:t>
      </w:r>
      <w:r w:rsidR="00662527" w:rsidRPr="00BF4F33">
        <w:rPr>
          <w:rFonts w:cs="Times New Roman"/>
          <w:szCs w:val="24"/>
        </w:rPr>
        <w:t>e</w:t>
      </w:r>
      <w:r w:rsidR="009E786F" w:rsidRPr="00BF4F33">
        <w:rPr>
          <w:rFonts w:cs="Times New Roman"/>
          <w:szCs w:val="24"/>
        </w:rPr>
        <w:t xml:space="preserve"> </w:t>
      </w:r>
      <w:r w:rsidR="00D24AAB" w:rsidRPr="00BF4F33">
        <w:rPr>
          <w:rFonts w:cs="Times New Roman"/>
          <w:szCs w:val="24"/>
        </w:rPr>
        <w:t xml:space="preserve">zbycia </w:t>
      </w:r>
      <w:r w:rsidR="00AF6983" w:rsidRPr="00BF4F33">
        <w:rPr>
          <w:rFonts w:cs="Times New Roman"/>
          <w:szCs w:val="24"/>
        </w:rPr>
        <w:t>paliw ciekłych</w:t>
      </w:r>
      <w:r w:rsidR="002F3359" w:rsidRPr="00BF4F33">
        <w:rPr>
          <w:rFonts w:cs="Times New Roman"/>
          <w:szCs w:val="24"/>
        </w:rPr>
        <w:t xml:space="preserve"> na podstawie koncesji</w:t>
      </w:r>
      <w:r w:rsidR="007709E7" w:rsidRPr="00BF4F33">
        <w:rPr>
          <w:rFonts w:cs="Times New Roman"/>
          <w:szCs w:val="24"/>
        </w:rPr>
        <w:t xml:space="preserve"> na obrót paliwami ciekłymi z zagranicą</w:t>
      </w:r>
      <w:r w:rsidR="009E786F" w:rsidRPr="00BF4F33">
        <w:rPr>
          <w:rFonts w:cs="Times New Roman"/>
          <w:szCs w:val="24"/>
        </w:rPr>
        <w:t>.</w:t>
      </w:r>
      <w:r w:rsidRPr="00BF4F33">
        <w:rPr>
          <w:rFonts w:cs="Times New Roman"/>
          <w:szCs w:val="24"/>
        </w:rPr>
        <w:t xml:space="preserve"> </w:t>
      </w:r>
      <w:r w:rsidR="003E4E08" w:rsidRPr="00BF4F33">
        <w:rPr>
          <w:rFonts w:cs="Times New Roman"/>
          <w:szCs w:val="24"/>
        </w:rPr>
        <w:t>Chodzi tym samym o podmioty posiadające taka koncesję</w:t>
      </w:r>
      <w:r w:rsidR="00831832" w:rsidRPr="00BF4F33">
        <w:rPr>
          <w:rFonts w:cs="Times New Roman"/>
          <w:szCs w:val="24"/>
        </w:rPr>
        <w:t>,</w:t>
      </w:r>
      <w:r w:rsidR="003E4E08" w:rsidRPr="00BF4F33">
        <w:rPr>
          <w:rFonts w:cs="Times New Roman"/>
          <w:szCs w:val="24"/>
        </w:rPr>
        <w:t xml:space="preserve"> dokonujące importu lub nabycia wspólnotowego paliw ciekłych</w:t>
      </w:r>
      <w:r w:rsidR="00831832" w:rsidRPr="00BF4F33">
        <w:rPr>
          <w:rFonts w:cs="Times New Roman"/>
          <w:szCs w:val="24"/>
        </w:rPr>
        <w:t xml:space="preserve"> (jako ich właściciel)</w:t>
      </w:r>
      <w:r w:rsidR="003E4E08" w:rsidRPr="00BF4F33">
        <w:rPr>
          <w:rFonts w:cs="Times New Roman"/>
          <w:szCs w:val="24"/>
        </w:rPr>
        <w:t xml:space="preserve">. </w:t>
      </w:r>
      <w:r w:rsidR="00AF6983" w:rsidRPr="00BF4F33">
        <w:rPr>
          <w:rFonts w:cs="Times New Roman"/>
          <w:szCs w:val="24"/>
        </w:rPr>
        <w:t>Należy</w:t>
      </w:r>
      <w:r w:rsidR="00DA3912" w:rsidRPr="00BF4F33">
        <w:rPr>
          <w:rFonts w:cs="Times New Roman"/>
          <w:szCs w:val="24"/>
        </w:rPr>
        <w:t xml:space="preserve"> przy tym wskazać</w:t>
      </w:r>
      <w:r w:rsidR="00AF6983" w:rsidRPr="00BF4F33">
        <w:rPr>
          <w:rFonts w:cs="Times New Roman"/>
          <w:szCs w:val="24"/>
        </w:rPr>
        <w:t xml:space="preserve"> także, że ustawa znajdzie zastosowanie do podmiotów</w:t>
      </w:r>
      <w:r w:rsidR="00247929" w:rsidRPr="00BF4F33">
        <w:rPr>
          <w:rFonts w:cs="Times New Roman"/>
          <w:szCs w:val="24"/>
        </w:rPr>
        <w:t xml:space="preserve"> (podatników)</w:t>
      </w:r>
      <w:r w:rsidR="00AF6983" w:rsidRPr="00BF4F33">
        <w:rPr>
          <w:rFonts w:cs="Times New Roman"/>
          <w:szCs w:val="24"/>
        </w:rPr>
        <w:t>, które rozpoczęły prowadzenie działalności</w:t>
      </w:r>
      <w:r w:rsidR="00E01900" w:rsidRPr="00BF4F33">
        <w:rPr>
          <w:rFonts w:cs="Times New Roman"/>
          <w:szCs w:val="24"/>
        </w:rPr>
        <w:t xml:space="preserve"> objętej jej zakresem przedmiotowym w jakimkolwiek momencie</w:t>
      </w:r>
      <w:r w:rsidR="00AF6983" w:rsidRPr="00BF4F33">
        <w:rPr>
          <w:rFonts w:cs="Times New Roman"/>
          <w:szCs w:val="24"/>
        </w:rPr>
        <w:t xml:space="preserve"> </w:t>
      </w:r>
      <w:r w:rsidR="00945034" w:rsidRPr="00BF4F33">
        <w:rPr>
          <w:rFonts w:cs="Times New Roman"/>
          <w:szCs w:val="24"/>
        </w:rPr>
        <w:t xml:space="preserve">okresu rozliczeniowego, tj. </w:t>
      </w:r>
      <w:r w:rsidR="005F5A0D" w:rsidRPr="00BF4F33">
        <w:rPr>
          <w:rFonts w:cs="Times New Roman"/>
          <w:szCs w:val="24"/>
        </w:rPr>
        <w:t>między</w:t>
      </w:r>
      <w:r w:rsidR="00AF6983" w:rsidRPr="00BF4F33">
        <w:rPr>
          <w:rFonts w:cs="Times New Roman"/>
          <w:szCs w:val="24"/>
        </w:rPr>
        <w:t xml:space="preserve"> 1 marca 2026</w:t>
      </w:r>
      <w:r w:rsidR="00831832" w:rsidRPr="00BF4F33">
        <w:rPr>
          <w:rFonts w:cs="Times New Roman"/>
          <w:szCs w:val="24"/>
        </w:rPr>
        <w:t> </w:t>
      </w:r>
      <w:r w:rsidR="00AF6983" w:rsidRPr="00BF4F33">
        <w:rPr>
          <w:rFonts w:cs="Times New Roman"/>
          <w:szCs w:val="24"/>
        </w:rPr>
        <w:t xml:space="preserve">r. </w:t>
      </w:r>
      <w:r w:rsidR="005F5A0D" w:rsidRPr="00BF4F33">
        <w:rPr>
          <w:rFonts w:cs="Times New Roman"/>
          <w:szCs w:val="24"/>
        </w:rPr>
        <w:t>a</w:t>
      </w:r>
      <w:r w:rsidR="00AF6983" w:rsidRPr="00BF4F33">
        <w:rPr>
          <w:rFonts w:cs="Times New Roman"/>
          <w:szCs w:val="24"/>
        </w:rPr>
        <w:t xml:space="preserve"> 31 grudnia 2026 r</w:t>
      </w:r>
      <w:r w:rsidR="007B6DC4" w:rsidRPr="00BF4F33">
        <w:rPr>
          <w:rFonts w:cs="Times New Roman"/>
          <w:szCs w:val="24"/>
        </w:rPr>
        <w:t xml:space="preserve">. </w:t>
      </w:r>
    </w:p>
    <w:p w14:paraId="5721299E" w14:textId="466431B2" w:rsidR="00831832" w:rsidRPr="00BF4F33" w:rsidRDefault="006A61C1" w:rsidP="00BA1951">
      <w:pPr>
        <w:widowControl/>
        <w:spacing w:before="120"/>
        <w:jc w:val="both"/>
        <w:rPr>
          <w:rFonts w:cs="Times New Roman"/>
          <w:szCs w:val="24"/>
        </w:rPr>
      </w:pPr>
      <w:r w:rsidRPr="00BF4F33">
        <w:rPr>
          <w:rFonts w:cs="Times New Roman"/>
          <w:b/>
          <w:bCs/>
          <w:szCs w:val="24"/>
        </w:rPr>
        <w:t xml:space="preserve">Art. </w:t>
      </w:r>
      <w:r w:rsidR="002F3359" w:rsidRPr="00BF4F33">
        <w:rPr>
          <w:rFonts w:cs="Times New Roman"/>
          <w:b/>
          <w:bCs/>
          <w:szCs w:val="24"/>
        </w:rPr>
        <w:t>6</w:t>
      </w:r>
      <w:r w:rsidR="002F3359" w:rsidRPr="00BF4F33">
        <w:rPr>
          <w:rFonts w:cs="Times New Roman"/>
          <w:szCs w:val="24"/>
        </w:rPr>
        <w:t xml:space="preserve"> </w:t>
      </w:r>
      <w:r w:rsidRPr="00BF4F33">
        <w:rPr>
          <w:rFonts w:cs="Times New Roman"/>
          <w:szCs w:val="24"/>
        </w:rPr>
        <w:t>–</w:t>
      </w:r>
      <w:r w:rsidR="00247929" w:rsidRPr="00BF4F33">
        <w:rPr>
          <w:rFonts w:cs="Times New Roman"/>
          <w:szCs w:val="24"/>
        </w:rPr>
        <w:t xml:space="preserve"> </w:t>
      </w:r>
      <w:r w:rsidRPr="00BF4F33">
        <w:rPr>
          <w:rFonts w:cs="Times New Roman"/>
          <w:szCs w:val="24"/>
        </w:rPr>
        <w:t>określa przedmiot opodatkowania</w:t>
      </w:r>
      <w:r w:rsidR="002F3359" w:rsidRPr="00BF4F33">
        <w:rPr>
          <w:rFonts w:cs="Times New Roman"/>
          <w:szCs w:val="24"/>
        </w:rPr>
        <w:t xml:space="preserve"> podatkiem od nadzwyczajnych zysków</w:t>
      </w:r>
      <w:r w:rsidR="00831832" w:rsidRPr="00BF4F33">
        <w:rPr>
          <w:rFonts w:cs="Times New Roman"/>
          <w:szCs w:val="24"/>
        </w:rPr>
        <w:t xml:space="preserve">, którym są </w:t>
      </w:r>
      <w:r w:rsidR="00247929" w:rsidRPr="00BF4F33">
        <w:rPr>
          <w:rFonts w:cs="Times New Roman"/>
          <w:szCs w:val="24"/>
        </w:rPr>
        <w:t>przych</w:t>
      </w:r>
      <w:r w:rsidR="00831832" w:rsidRPr="00BF4F33">
        <w:rPr>
          <w:rFonts w:cs="Times New Roman"/>
          <w:szCs w:val="24"/>
        </w:rPr>
        <w:t>ody</w:t>
      </w:r>
      <w:r w:rsidR="002F3359" w:rsidRPr="00BF4F33">
        <w:rPr>
          <w:rFonts w:cs="Times New Roman"/>
          <w:szCs w:val="24"/>
        </w:rPr>
        <w:t xml:space="preserve"> osiągnięt</w:t>
      </w:r>
      <w:r w:rsidR="00831832" w:rsidRPr="00BF4F33">
        <w:rPr>
          <w:rFonts w:cs="Times New Roman"/>
          <w:szCs w:val="24"/>
        </w:rPr>
        <w:t>e</w:t>
      </w:r>
      <w:r w:rsidR="002F3359" w:rsidRPr="00BF4F33">
        <w:rPr>
          <w:rFonts w:cs="Times New Roman"/>
          <w:szCs w:val="24"/>
        </w:rPr>
        <w:t xml:space="preserve"> przez podatnika z tytułu zbycia paliw ciekłych na terytorium Rzeczypospolitej Polskiej</w:t>
      </w:r>
      <w:r w:rsidR="007B6DC4" w:rsidRPr="00BF4F33">
        <w:rPr>
          <w:rFonts w:cs="Times New Roman"/>
          <w:szCs w:val="24"/>
        </w:rPr>
        <w:t xml:space="preserve">. </w:t>
      </w:r>
      <w:r w:rsidR="00261D21" w:rsidRPr="00BF4F33">
        <w:rPr>
          <w:rFonts w:cs="Times New Roman"/>
          <w:szCs w:val="24"/>
        </w:rPr>
        <w:t>Przepis ten należy czytać „w powiązaniu” z art. 7 określającym co jest podstawą opodatkowania. Przedmiot opodatkowania to bowiem bardzo ogólna kategoria prawna. W kontekście wysokości zobowiązania dużo istotniejszy jest sposób</w:t>
      </w:r>
      <w:r w:rsidR="004D3233" w:rsidRPr="00BF4F33">
        <w:rPr>
          <w:rFonts w:cs="Times New Roman"/>
          <w:szCs w:val="24"/>
        </w:rPr>
        <w:t xml:space="preserve"> określania podstawy opodatkowania, gdyż zawiera konkretną formułę jego wyliczania. Tym samym wskazanie w art. 6 na kategorię „przychodów” nie może być odczytywane jako równoznaczne z opodatkowaniem </w:t>
      </w:r>
      <w:r w:rsidR="00A73C18" w:rsidRPr="00BF4F33">
        <w:rPr>
          <w:rFonts w:cs="Times New Roman"/>
          <w:szCs w:val="24"/>
        </w:rPr>
        <w:t xml:space="preserve">proponowanym </w:t>
      </w:r>
      <w:r w:rsidR="004D3233" w:rsidRPr="00BF4F33">
        <w:rPr>
          <w:rFonts w:cs="Times New Roman"/>
          <w:szCs w:val="24"/>
        </w:rPr>
        <w:t>podatkiem „czystych przychodów” podatnika. To co podlega opodatkowaniu wynika z całokształtu regulacji projektu, w szczególności z formuły wyliczania podstawy opodatkowania (zob. wyjaśnienia do art. 7), a ta uwzględnia konieczność oparcia się na bieżących kosztach ponoszonych przez podatnika</w:t>
      </w:r>
      <w:r w:rsidR="00A73C18" w:rsidRPr="00BF4F33">
        <w:rPr>
          <w:rFonts w:cs="Times New Roman"/>
          <w:szCs w:val="24"/>
        </w:rPr>
        <w:t xml:space="preserve"> (zob. wzór na obliczenia przychodów hipotetycznych – art. 7 ust. 2)</w:t>
      </w:r>
      <w:r w:rsidR="004D3233" w:rsidRPr="00BF4F33">
        <w:rPr>
          <w:rFonts w:cs="Times New Roman"/>
          <w:szCs w:val="24"/>
        </w:rPr>
        <w:t>.</w:t>
      </w:r>
      <w:r w:rsidR="00A73C18" w:rsidRPr="00BF4F33">
        <w:rPr>
          <w:rFonts w:cs="Times New Roman"/>
          <w:szCs w:val="24"/>
        </w:rPr>
        <w:t xml:space="preserve"> Tym samym faktycznie opodatkowywany jest nie przychód lecz zysk (nadwyżka przychodów nad kosztami). </w:t>
      </w:r>
      <w:r w:rsidR="004D3233" w:rsidRPr="00BF4F33">
        <w:rPr>
          <w:rFonts w:cs="Times New Roman"/>
          <w:szCs w:val="24"/>
        </w:rPr>
        <w:t xml:space="preserve">   </w:t>
      </w:r>
      <w:r w:rsidR="00261D21" w:rsidRPr="00BF4F33">
        <w:rPr>
          <w:rFonts w:cs="Times New Roman"/>
          <w:szCs w:val="24"/>
        </w:rPr>
        <w:t xml:space="preserve">  </w:t>
      </w:r>
    </w:p>
    <w:p w14:paraId="6CCEE17F" w14:textId="5562E8BA" w:rsidR="00592A67" w:rsidRPr="00BF4F33" w:rsidRDefault="00592A67" w:rsidP="00BA1951">
      <w:pPr>
        <w:widowControl/>
        <w:spacing w:before="120"/>
        <w:jc w:val="both"/>
        <w:rPr>
          <w:rFonts w:cs="Times New Roman"/>
          <w:szCs w:val="24"/>
        </w:rPr>
      </w:pPr>
      <w:r w:rsidRPr="00BF4F33">
        <w:rPr>
          <w:rFonts w:cs="Times New Roman"/>
          <w:szCs w:val="24"/>
        </w:rPr>
        <w:t xml:space="preserve">W kontekście art. </w:t>
      </w:r>
      <w:r w:rsidR="002F3359" w:rsidRPr="00BF4F33">
        <w:rPr>
          <w:rFonts w:cs="Times New Roman"/>
          <w:szCs w:val="24"/>
        </w:rPr>
        <w:t xml:space="preserve">5 </w:t>
      </w:r>
      <w:r w:rsidRPr="00BF4F33">
        <w:rPr>
          <w:rFonts w:cs="Times New Roman"/>
          <w:szCs w:val="24"/>
        </w:rPr>
        <w:t xml:space="preserve">i </w:t>
      </w:r>
      <w:r w:rsidR="002F3359" w:rsidRPr="00BF4F33">
        <w:rPr>
          <w:rFonts w:cs="Times New Roman"/>
          <w:szCs w:val="24"/>
        </w:rPr>
        <w:t xml:space="preserve">6 </w:t>
      </w:r>
      <w:r w:rsidR="00247929" w:rsidRPr="00BF4F33">
        <w:rPr>
          <w:rFonts w:cs="Times New Roman"/>
          <w:szCs w:val="24"/>
        </w:rPr>
        <w:t xml:space="preserve">(określające zakres podmiotowy i przedmiotowy) </w:t>
      </w:r>
      <w:r w:rsidRPr="00BF4F33">
        <w:rPr>
          <w:rFonts w:cs="Times New Roman"/>
          <w:szCs w:val="24"/>
        </w:rPr>
        <w:t>należy zaznaczyć, że przepisy te powinny być interpretowane łącznie</w:t>
      </w:r>
      <w:r w:rsidR="00247929" w:rsidRPr="00BF4F33">
        <w:rPr>
          <w:rFonts w:cs="Times New Roman"/>
          <w:szCs w:val="24"/>
        </w:rPr>
        <w:t>, gdyż dopiero po spełnieniu warunków określonych w tych przepisach przychody określonego podmiotu zostaną objęte zakresem ustawy</w:t>
      </w:r>
      <w:r w:rsidRPr="00BF4F33">
        <w:rPr>
          <w:rFonts w:cs="Times New Roman"/>
          <w:szCs w:val="24"/>
        </w:rPr>
        <w:t xml:space="preserve">. </w:t>
      </w:r>
      <w:r w:rsidR="00831832" w:rsidRPr="00BF4F33">
        <w:rPr>
          <w:rFonts w:cs="Times New Roman"/>
          <w:szCs w:val="24"/>
        </w:rPr>
        <w:t xml:space="preserve">Co istotne, zakresem przedmiotowym, objęte będą wszystkie przychody podatnika ze zbycia (sprzedaży) paliw ciekłych (w rozumieniu projektu ustawy), a nie tylko te które „pochodzą” ze sprzedaży paliw ciekłych wytworzonych, czy też zaimportowanych/nabytych wewnątrzwspólnotowo przez podatnika (innymi słowy </w:t>
      </w:r>
      <w:r w:rsidR="004D1EF8" w:rsidRPr="00BF4F33">
        <w:rPr>
          <w:rFonts w:cs="Times New Roman"/>
          <w:szCs w:val="24"/>
        </w:rPr>
        <w:t xml:space="preserve">– nie tylko te wytworzone albo nabyte </w:t>
      </w:r>
      <w:r w:rsidR="00831832" w:rsidRPr="00BF4F33">
        <w:rPr>
          <w:rFonts w:cs="Times New Roman"/>
          <w:szCs w:val="24"/>
        </w:rPr>
        <w:t>„przez siebie”).</w:t>
      </w:r>
      <w:r w:rsidR="004D1EF8" w:rsidRPr="00BF4F33">
        <w:rPr>
          <w:rFonts w:cs="Times New Roman"/>
          <w:szCs w:val="24"/>
        </w:rPr>
        <w:t xml:space="preserve"> Przyjęcie takiego rozwiązania wynika uwzględnienia aspektów praktycznych, a mianowicie istotnych problemów w ustaleniu podstawy opodatkowania w przypadku konieczności „śledzenia” poszczególnych „strumieni” przychodów. </w:t>
      </w:r>
      <w:r w:rsidR="00B4007E" w:rsidRPr="00BF4F33">
        <w:rPr>
          <w:rFonts w:cs="Times New Roman"/>
          <w:szCs w:val="24"/>
        </w:rPr>
        <w:t xml:space="preserve">Odmienne rozwiązanie </w:t>
      </w:r>
      <w:r w:rsidR="00B4007E" w:rsidRPr="00BF4F33">
        <w:rPr>
          <w:rFonts w:cs="Times New Roman"/>
          <w:szCs w:val="24"/>
        </w:rPr>
        <w:lastRenderedPageBreak/>
        <w:t>wymagałoby od podatników prowadzenia dodatkowych (prawdopodobnie statystycznych) ewidencji i kwalifikacji. Przyjęcie, że podatnicy (w uproszczeniu wytwórcy i sprowadzający paliwa z zagranicy), uwzględnialiby wyłącznie swoją produkcję w Polsce oraz towary nabyte spoza Polski, implikowałoby konieczność wyodrębniania z kalkulacji paliw ciekłych zakupionych przez nich w Polsce, co rodziłoby pytania w zakresie metod kolejności „rozchodu” przy oznaczaniu kraju pochodzenia paliwa, innego podatkowego traktowania danych partii takiego samego produktu, wprowadzając konieczności prowadzenia dodatkowych ewidencji, wskaźników etc. i – co ważniejsze, wprowadzałoby asymetrię w podejściu do części wyniku realizowanego na takich samych produktach.</w:t>
      </w:r>
    </w:p>
    <w:p w14:paraId="05116FC3" w14:textId="0CD34D5D" w:rsidR="007E4746" w:rsidRPr="00BF4F33" w:rsidRDefault="007E4746" w:rsidP="00BA1951">
      <w:pPr>
        <w:widowControl/>
        <w:spacing w:before="120"/>
        <w:jc w:val="both"/>
        <w:rPr>
          <w:rFonts w:cs="Times New Roman"/>
          <w:szCs w:val="24"/>
        </w:rPr>
      </w:pPr>
      <w:r w:rsidRPr="00BF4F33">
        <w:rPr>
          <w:rFonts w:cs="Times New Roman"/>
          <w:szCs w:val="24"/>
        </w:rPr>
        <w:t xml:space="preserve">Z tego względu przyjęto w omawianym zakresie rozwiązanie uproszczone, niewymagające prowadzenia dodatkowych ewidencji i kalkulacji. Rozwiązanie to rzutuje na sposób kalkulacji wskaźników, o których mowa w art. 7.  </w:t>
      </w:r>
    </w:p>
    <w:p w14:paraId="4CF405BE" w14:textId="214B9824" w:rsidR="00090147" w:rsidRPr="00BF4F33" w:rsidRDefault="00090147" w:rsidP="00BA1951">
      <w:pPr>
        <w:widowControl/>
        <w:spacing w:before="120"/>
        <w:jc w:val="both"/>
        <w:rPr>
          <w:rFonts w:cs="Times New Roman"/>
          <w:szCs w:val="24"/>
        </w:rPr>
      </w:pPr>
      <w:r w:rsidRPr="00BF4F33">
        <w:rPr>
          <w:rFonts w:cs="Times New Roman"/>
          <w:b/>
          <w:bCs/>
          <w:szCs w:val="24"/>
        </w:rPr>
        <w:t xml:space="preserve">Art. </w:t>
      </w:r>
      <w:r w:rsidR="002F3359" w:rsidRPr="00BF4F33">
        <w:rPr>
          <w:rFonts w:cs="Times New Roman"/>
          <w:b/>
          <w:bCs/>
          <w:szCs w:val="24"/>
        </w:rPr>
        <w:t>7</w:t>
      </w:r>
      <w:r w:rsidR="002F3359" w:rsidRPr="00BF4F33">
        <w:rPr>
          <w:rFonts w:cs="Times New Roman"/>
          <w:szCs w:val="24"/>
        </w:rPr>
        <w:t xml:space="preserve"> </w:t>
      </w:r>
      <w:r w:rsidRPr="00BF4F33">
        <w:rPr>
          <w:rFonts w:cs="Times New Roman"/>
          <w:szCs w:val="24"/>
        </w:rPr>
        <w:t xml:space="preserve">– </w:t>
      </w:r>
      <w:r w:rsidR="00C57A1B" w:rsidRPr="00BF4F33">
        <w:rPr>
          <w:rFonts w:cs="Times New Roman"/>
          <w:szCs w:val="24"/>
        </w:rPr>
        <w:t>określa</w:t>
      </w:r>
      <w:r w:rsidRPr="00BF4F33">
        <w:rPr>
          <w:rFonts w:cs="Times New Roman"/>
          <w:szCs w:val="24"/>
        </w:rPr>
        <w:t xml:space="preserve"> podstawę opodatkowania podatkiem od nadzwyczajnych zysków oraz reguluje zasady jej obliczania, stanowiąc oś konstrukcyjną całej regulacji.</w:t>
      </w:r>
    </w:p>
    <w:p w14:paraId="488D31F3" w14:textId="3BA1B435" w:rsidR="00090147" w:rsidRPr="00BF4F33" w:rsidRDefault="00090147" w:rsidP="00BA1951">
      <w:pPr>
        <w:widowControl/>
        <w:spacing w:before="120"/>
        <w:jc w:val="both"/>
        <w:rPr>
          <w:rFonts w:cs="Times New Roman"/>
          <w:szCs w:val="24"/>
        </w:rPr>
      </w:pPr>
      <w:r w:rsidRPr="00BF4F33">
        <w:rPr>
          <w:rFonts w:cs="Times New Roman"/>
          <w:szCs w:val="24"/>
        </w:rPr>
        <w:t xml:space="preserve">Projektowany mechanizm opiera się na porównaniu dwóch wielkości: przychodów, które podatnik faktycznie osiągnął </w:t>
      </w:r>
      <w:r w:rsidR="002F3359" w:rsidRPr="00BF4F33">
        <w:rPr>
          <w:rFonts w:cs="Times New Roman"/>
          <w:szCs w:val="24"/>
        </w:rPr>
        <w:t>w roku podatkowym</w:t>
      </w:r>
      <w:r w:rsidRPr="00BF4F33">
        <w:rPr>
          <w:rFonts w:cs="Times New Roman"/>
          <w:szCs w:val="24"/>
        </w:rPr>
        <w:t xml:space="preserve"> ze zbycia paliw ciekłych (przychody faktyczne), z przychodami, które osiągnąłby, gdyby jego marża sprzedaży kształtowała się na poziomie historycznym powiększonym o dopuszczalny narzut (przychody hipotetyczne). Jeżeli przychody faktyczne przewyższają przychody hipotetyczne, powstała nadwyżka stanowi podstawę opodatkowania.</w:t>
      </w:r>
    </w:p>
    <w:p w14:paraId="20B574AD" w14:textId="03FA072B" w:rsidR="002123B9" w:rsidRPr="00BF4F33" w:rsidRDefault="002123B9" w:rsidP="00BA1951">
      <w:pPr>
        <w:widowControl/>
        <w:spacing w:before="120"/>
        <w:jc w:val="both"/>
        <w:rPr>
          <w:rFonts w:cs="Times New Roman"/>
          <w:szCs w:val="24"/>
        </w:rPr>
      </w:pPr>
      <w:r w:rsidRPr="00BF4F33">
        <w:rPr>
          <w:rFonts w:cs="Times New Roman"/>
          <w:szCs w:val="24"/>
        </w:rPr>
        <w:t>W kontekście przychodów faktycznych należy zaznaczyć, że pojęcie to nie powinno być rozumiane jako odejście od zasady memoriału właściwej dla ujmowania przychodów w</w:t>
      </w:r>
      <w:r w:rsidR="00ED1049" w:rsidRPr="00BF4F33">
        <w:rPr>
          <w:rFonts w:cs="Times New Roman"/>
          <w:szCs w:val="24"/>
        </w:rPr>
        <w:t> </w:t>
      </w:r>
      <w:r w:rsidRPr="00BF4F33">
        <w:rPr>
          <w:rFonts w:cs="Times New Roman"/>
          <w:szCs w:val="24"/>
        </w:rPr>
        <w:t>rachunkowości oraz w podatkach dochodowych. Celem projektowanej regulacji nie jest wprowadzenie kasowego sposobu rozpoznawania przychodów, lecz ustanowienie — wyłącznie na potrzeby obliczenia podatku od nadzwyczajnych zysków — kategorii przychodów ze zbycia paliw ciekłych osiągniętych przez podatnika w roku podatkowym objętym ustawą. Pojęcie to służy odróżnieniu przychodów rzeczywiście przypisanych do działalności objętej zakresem ustawy od przychodów hipotetycznych, obliczanych przy zastosowaniu marży referencyjnej.</w:t>
      </w:r>
    </w:p>
    <w:p w14:paraId="665D477E" w14:textId="2ADADCFA" w:rsidR="002123B9" w:rsidRPr="00BF4F33" w:rsidRDefault="002123B9" w:rsidP="00BA1951">
      <w:pPr>
        <w:widowControl/>
        <w:spacing w:before="120"/>
        <w:jc w:val="both"/>
        <w:rPr>
          <w:rFonts w:cs="Times New Roman"/>
          <w:szCs w:val="24"/>
        </w:rPr>
      </w:pPr>
      <w:r w:rsidRPr="00BF4F33">
        <w:rPr>
          <w:rFonts w:cs="Times New Roman"/>
          <w:szCs w:val="24"/>
        </w:rPr>
        <w:t xml:space="preserve">Przychody faktyczne należy zatem rozumieć jako przychody należne podatnikowi z tytułu zbycia paliw ciekłych w roku podatkowym, ustalone zgodnie z właściwymi zasadami rachunkowości, niezależnie od momentu faktycznego otrzymania zapłaty. Takie rozumienie pozostaje spójne z zasadą memoriału, zgodnie z którą przychody przypisywane są do okresu, </w:t>
      </w:r>
      <w:r w:rsidRPr="00BF4F33">
        <w:rPr>
          <w:rFonts w:cs="Times New Roman"/>
          <w:szCs w:val="24"/>
        </w:rPr>
        <w:lastRenderedPageBreak/>
        <w:t>którego dotyczą, a nie do okresu, w którym nastąpił przepływ środków pieniężnych. Wprowadzenie w art. 6 ust. 1 projektu odwołania do przychodów faktycznie osiągniętych ma zatem charakter konstrukcyjny i porządkujący. Służy ono określeniu kategorii przychodów stanowiących punkt wyjścia do porównania z przychodami hipotetycznymi, a nie modyfikacji zasad ich rozpoznawania w czasie.</w:t>
      </w:r>
    </w:p>
    <w:p w14:paraId="6BC20EA4" w14:textId="5CBE07E9" w:rsidR="00090147" w:rsidRPr="00BF4F33" w:rsidRDefault="00090147" w:rsidP="00BA1951">
      <w:pPr>
        <w:widowControl/>
        <w:spacing w:before="120"/>
        <w:jc w:val="both"/>
        <w:rPr>
          <w:rFonts w:cs="Times New Roman"/>
          <w:szCs w:val="24"/>
        </w:rPr>
      </w:pPr>
      <w:r w:rsidRPr="00BF4F33">
        <w:rPr>
          <w:rFonts w:cs="Times New Roman"/>
          <w:szCs w:val="24"/>
        </w:rPr>
        <w:t>Przychody hipotetyczne oblicza się na podstawie wzoru wskazanego w ust. 2. Iloraz kosztów faktycznych i wyrażenia (1 – marża referencyjna / 100%) odzwierciedla kwotę przychodów, jaką podatnik osiągnąłby</w:t>
      </w:r>
      <w:r w:rsidR="00CC61E8" w:rsidRPr="00BF4F33">
        <w:rPr>
          <w:rFonts w:cs="Times New Roman"/>
          <w:szCs w:val="24"/>
        </w:rPr>
        <w:t>,</w:t>
      </w:r>
      <w:r w:rsidRPr="00BF4F33">
        <w:rPr>
          <w:rFonts w:cs="Times New Roman"/>
          <w:szCs w:val="24"/>
        </w:rPr>
        <w:t xml:space="preserve"> stosując marżę referencyjną. Koszty faktyczne</w:t>
      </w:r>
      <w:r w:rsidR="00C700F1" w:rsidRPr="00BF4F33">
        <w:rPr>
          <w:rFonts w:cs="Times New Roman"/>
          <w:szCs w:val="24"/>
        </w:rPr>
        <w:t xml:space="preserve"> oznaczają</w:t>
      </w:r>
      <w:r w:rsidRPr="00BF4F33">
        <w:rPr>
          <w:rFonts w:cs="Times New Roman"/>
          <w:szCs w:val="24"/>
        </w:rPr>
        <w:t xml:space="preserve"> przy tym koszty związane z przychodami faktycznymi, stanowiące cenę nabycia lub koszt wytworzenia paliw ciekłych. Takie ujęcie sprawia, że – z samej swej istoty – koszty sprzedaży i ogólnego zarządu nie wchodzą do podstawy kalkulacji, nie stanowią bowiem ceny nabycia ani kosztu wytworzenia w rozumieniu przepisów o rachunkowości.</w:t>
      </w:r>
    </w:p>
    <w:p w14:paraId="0EB8A1D7" w14:textId="58F7AFB3" w:rsidR="00090147" w:rsidRPr="00BF4F33" w:rsidRDefault="00B80865" w:rsidP="00BA1951">
      <w:pPr>
        <w:widowControl/>
        <w:spacing w:before="120"/>
        <w:jc w:val="both"/>
        <w:rPr>
          <w:rFonts w:cs="Times New Roman"/>
          <w:szCs w:val="24"/>
        </w:rPr>
      </w:pPr>
      <w:r w:rsidRPr="00BF4F33">
        <w:rPr>
          <w:rFonts w:cs="Times New Roman"/>
          <w:szCs w:val="24"/>
        </w:rPr>
        <w:t>Punktem wyjścia dla ustalenia marży referencyjnej jest obliczenie średniej marży sprzedaży (ŚMS) podatnika, wyrażonej jako procentowy udział zysku ze sprzedaży paliw ciekłych w przychodach z tej sprzedaży osiągniętych w 2025 r.</w:t>
      </w:r>
      <w:r w:rsidR="00412DDD" w:rsidRPr="00BF4F33">
        <w:rPr>
          <w:rFonts w:cs="Times New Roman"/>
          <w:szCs w:val="24"/>
        </w:rPr>
        <w:t xml:space="preserve"> </w:t>
      </w:r>
      <w:r w:rsidR="00090147" w:rsidRPr="00BF4F33">
        <w:rPr>
          <w:rFonts w:cs="Times New Roman"/>
          <w:szCs w:val="24"/>
        </w:rPr>
        <w:t>Tak ustalona ŚMS odzwierciedla rzeczywistą, historyczną rentowność danego podatnika w warunkach poprzedzających kryzys. Jest to zarazem jeden z nielicznych na przestrzeni ostatnich lat okresów wolnych od zdarzeń nadzwyczajnych, które mogłyby zaburzyć historyczny poziom marż, przez co stanowi miarodajny punkt odniesienia. Marżę referencyjną ustala się następnie jako ŚMS powiększoną o 20%</w:t>
      </w:r>
      <w:r w:rsidR="00945034" w:rsidRPr="00BF4F33">
        <w:rPr>
          <w:rFonts w:cs="Times New Roman"/>
          <w:szCs w:val="24"/>
        </w:rPr>
        <w:t xml:space="preserve"> (Marża referencyjna = ŚMS * 1,2)</w:t>
      </w:r>
      <w:r w:rsidR="00090147" w:rsidRPr="00BF4F33">
        <w:rPr>
          <w:rFonts w:cs="Times New Roman"/>
          <w:szCs w:val="24"/>
        </w:rPr>
        <w:t>, co pełni funkcję ochronną: opodatkowaniu nie podlegają zyski wynikające ze zwykłych wahań rynkowych lub standardowego wzrostu efektywności operacyjnej, lecz wyłącznie nadwyżka ponad rozsądnie wyznaczony próg. Zarówno ŚMS, jak i marżę referencyjną oblicza się z dokładnością do dwóch miejsc po przecinku, o czym stanowi ust. 4 omawianego przepisu.</w:t>
      </w:r>
    </w:p>
    <w:p w14:paraId="678F61A0" w14:textId="2471B1D2" w:rsidR="00945034" w:rsidRPr="00BF4F33" w:rsidRDefault="00945034" w:rsidP="00BA1951">
      <w:pPr>
        <w:widowControl/>
        <w:spacing w:before="120"/>
        <w:jc w:val="both"/>
        <w:rPr>
          <w:rFonts w:cs="Times New Roman"/>
          <w:szCs w:val="24"/>
        </w:rPr>
      </w:pPr>
      <w:r w:rsidRPr="00BF4F33">
        <w:rPr>
          <w:rFonts w:cs="Times New Roman"/>
          <w:szCs w:val="24"/>
        </w:rPr>
        <w:t>Definicja ma</w:t>
      </w:r>
      <w:r w:rsidR="007B6DC4" w:rsidRPr="00BF4F33">
        <w:rPr>
          <w:rFonts w:cs="Times New Roman"/>
          <w:szCs w:val="24"/>
        </w:rPr>
        <w:t>rż</w:t>
      </w:r>
      <w:r w:rsidRPr="00BF4F33">
        <w:rPr>
          <w:rFonts w:cs="Times New Roman"/>
          <w:szCs w:val="24"/>
        </w:rPr>
        <w:t>y referencyjnej przewiduje również dolny próg 2</w:t>
      </w:r>
      <w:r w:rsidR="007B6DC4" w:rsidRPr="00BF4F33">
        <w:rPr>
          <w:rFonts w:cs="Times New Roman"/>
          <w:szCs w:val="24"/>
        </w:rPr>
        <w:t>,00</w:t>
      </w:r>
      <w:r w:rsidRPr="00BF4F33">
        <w:rPr>
          <w:rFonts w:cs="Times New Roman"/>
          <w:szCs w:val="24"/>
        </w:rPr>
        <w:t>%</w:t>
      </w:r>
      <w:r w:rsidR="007B6DC4" w:rsidRPr="00BF4F33">
        <w:rPr>
          <w:rFonts w:cs="Times New Roman"/>
          <w:szCs w:val="24"/>
        </w:rPr>
        <w:t xml:space="preserve">. </w:t>
      </w:r>
      <w:r w:rsidRPr="00BF4F33">
        <w:rPr>
          <w:rFonts w:cs="Times New Roman"/>
          <w:szCs w:val="24"/>
        </w:rPr>
        <w:t xml:space="preserve">Rozwiązanie to obejmuje dwie sytuacje: po pierwsze, przypadek, gdy marża referencyjna obliczona ze wzoru byłaby niższa niż 2% – co mogłoby wystąpić u podatników operujących historycznie na bardzo niskich marżach lub ze stratą; po drugie, przypadek podatników </w:t>
      </w:r>
      <w:r w:rsidR="00C51E1E" w:rsidRPr="00BF4F33">
        <w:rPr>
          <w:rFonts w:eastAsia="Times New Roman" w:cs="Times New Roman"/>
          <w:szCs w:val="24"/>
        </w:rPr>
        <w:t>którzy nie prowadzili w 2025 r. działalności w zakresie, o którym mowa w art. 5, a zatem</w:t>
      </w:r>
      <w:r w:rsidR="006567F6" w:rsidRPr="00BF4F33">
        <w:rPr>
          <w:rFonts w:eastAsia="Times New Roman" w:cs="Times New Roman"/>
          <w:szCs w:val="24"/>
        </w:rPr>
        <w:t xml:space="preserve"> </w:t>
      </w:r>
      <w:r w:rsidRPr="00BF4F33">
        <w:rPr>
          <w:rFonts w:cs="Times New Roman"/>
          <w:szCs w:val="24"/>
        </w:rPr>
        <w:t>nie dysponują danymi historycznymi umożliwiającymi obliczenie ŚMS. W obu przypadkach przyjmuje się, że marża referencyjna wynosi 2</w:t>
      </w:r>
      <w:r w:rsidR="007B6DC4" w:rsidRPr="00BF4F33">
        <w:rPr>
          <w:rFonts w:cs="Times New Roman"/>
          <w:szCs w:val="24"/>
        </w:rPr>
        <w:t>,00</w:t>
      </w:r>
      <w:r w:rsidRPr="00BF4F33">
        <w:rPr>
          <w:rFonts w:cs="Times New Roman"/>
          <w:szCs w:val="24"/>
        </w:rPr>
        <w:t>%.</w:t>
      </w:r>
    </w:p>
    <w:p w14:paraId="7707993C" w14:textId="38BF95D6" w:rsidR="005F2B0B" w:rsidRPr="00BF4F33" w:rsidRDefault="00090147" w:rsidP="00BA1951">
      <w:pPr>
        <w:widowControl/>
        <w:spacing w:before="120"/>
        <w:jc w:val="both"/>
        <w:rPr>
          <w:rFonts w:cs="Times New Roman"/>
          <w:szCs w:val="24"/>
        </w:rPr>
      </w:pPr>
      <w:r w:rsidRPr="00BF4F33">
        <w:rPr>
          <w:rFonts w:cs="Times New Roman"/>
          <w:szCs w:val="24"/>
        </w:rPr>
        <w:t>Ustęp</w:t>
      </w:r>
      <w:r w:rsidR="00646BDB" w:rsidRPr="00BF4F33">
        <w:rPr>
          <w:rFonts w:cs="Times New Roman"/>
          <w:szCs w:val="24"/>
        </w:rPr>
        <w:t xml:space="preserve"> </w:t>
      </w:r>
      <w:r w:rsidR="00247929" w:rsidRPr="00BF4F33">
        <w:rPr>
          <w:rFonts w:cs="Times New Roman"/>
          <w:szCs w:val="24"/>
        </w:rPr>
        <w:t>5</w:t>
      </w:r>
      <w:r w:rsidRPr="00BF4F33">
        <w:rPr>
          <w:rFonts w:cs="Times New Roman"/>
          <w:szCs w:val="24"/>
        </w:rPr>
        <w:t xml:space="preserve"> </w:t>
      </w:r>
      <w:r w:rsidR="00C51E1E" w:rsidRPr="00BF4F33">
        <w:rPr>
          <w:rFonts w:eastAsia="Times New Roman" w:cs="Times New Roman"/>
          <w:szCs w:val="24"/>
        </w:rPr>
        <w:t xml:space="preserve">reguluje szczegółowe zasady ustalania przychodów i kosztów </w:t>
      </w:r>
      <w:r w:rsidRPr="00BF4F33">
        <w:rPr>
          <w:rFonts w:cs="Times New Roman"/>
          <w:szCs w:val="24"/>
        </w:rPr>
        <w:t>– zarówno faktycznych, jak i referencyjnych</w:t>
      </w:r>
      <w:r w:rsidR="00C51E1E" w:rsidRPr="00BF4F33">
        <w:rPr>
          <w:rFonts w:cs="Times New Roman"/>
          <w:szCs w:val="24"/>
        </w:rPr>
        <w:t>.</w:t>
      </w:r>
      <w:r w:rsidR="005F2B0B" w:rsidRPr="00BF4F33">
        <w:rPr>
          <w:rFonts w:cs="Times New Roman"/>
          <w:szCs w:val="24"/>
        </w:rPr>
        <w:t xml:space="preserve"> </w:t>
      </w:r>
      <w:r w:rsidR="00CE2835" w:rsidRPr="00BF4F33">
        <w:rPr>
          <w:rFonts w:cs="Times New Roman"/>
          <w:szCs w:val="24"/>
        </w:rPr>
        <w:t xml:space="preserve">Celem niniejszego przepisu jest zagwarantowanie, że powinność </w:t>
      </w:r>
      <w:r w:rsidR="00CE2835" w:rsidRPr="00BF4F33">
        <w:rPr>
          <w:rFonts w:cs="Times New Roman"/>
          <w:szCs w:val="24"/>
        </w:rPr>
        <w:lastRenderedPageBreak/>
        <w:t>uiszczenia podatku będzie skorelowana z faktyczną, ostateczną rentownością podatnika, a nie jedynie nominalnymi strumieniami przychodowymi lub poniesionymi kosztami, określanymi w oderwaniu od pełnej ekonomiki prowadzonej działalności.</w:t>
      </w:r>
    </w:p>
    <w:p w14:paraId="654662B9" w14:textId="6C186F1F" w:rsidR="00247929" w:rsidRPr="00BF4F33" w:rsidRDefault="00F975D2" w:rsidP="00BA1951">
      <w:pPr>
        <w:widowControl/>
        <w:spacing w:before="120"/>
        <w:jc w:val="both"/>
        <w:rPr>
          <w:rFonts w:cs="Times New Roman"/>
          <w:szCs w:val="24"/>
        </w:rPr>
      </w:pPr>
      <w:r w:rsidRPr="00BF4F33">
        <w:rPr>
          <w:rFonts w:cs="Times New Roman"/>
          <w:szCs w:val="24"/>
        </w:rPr>
        <w:t>W treści</w:t>
      </w:r>
      <w:r w:rsidR="005F2B0B" w:rsidRPr="00BF4F33">
        <w:rPr>
          <w:rFonts w:cs="Times New Roman"/>
          <w:szCs w:val="24"/>
        </w:rPr>
        <w:t xml:space="preserve"> otwierającego ust. 5 pkt 1</w:t>
      </w:r>
      <w:r w:rsidR="00B8700F" w:rsidRPr="00BF4F33">
        <w:rPr>
          <w:rFonts w:cs="Times New Roman"/>
          <w:szCs w:val="24"/>
        </w:rPr>
        <w:t xml:space="preserve"> lit. a</w:t>
      </w:r>
      <w:r w:rsidRPr="00BF4F33">
        <w:rPr>
          <w:rFonts w:cs="Times New Roman"/>
          <w:szCs w:val="24"/>
        </w:rPr>
        <w:t xml:space="preserve"> przewiduje się obowiązek określania wysokości przychodów i kosztów z uwzględnieniem</w:t>
      </w:r>
      <w:r w:rsidR="00090147" w:rsidRPr="00BF4F33">
        <w:rPr>
          <w:rFonts w:cs="Times New Roman"/>
          <w:szCs w:val="24"/>
        </w:rPr>
        <w:t xml:space="preserve"> wyniku na pochodnych instrumentach finansowych służących zabezpieczeniu tych przychodów i kosztów</w:t>
      </w:r>
      <w:r w:rsidRPr="00BF4F33">
        <w:rPr>
          <w:rFonts w:cs="Times New Roman"/>
          <w:szCs w:val="24"/>
        </w:rPr>
        <w:t xml:space="preserve">, z wyłączeniem wycen tych instrumentów. Taki kształt regulacji </w:t>
      </w:r>
      <w:r w:rsidR="005F2B0B" w:rsidRPr="00BF4F33">
        <w:rPr>
          <w:rFonts w:cs="Times New Roman"/>
          <w:szCs w:val="24"/>
        </w:rPr>
        <w:t>zapewnia</w:t>
      </w:r>
      <w:r w:rsidRPr="00BF4F33">
        <w:rPr>
          <w:rFonts w:cs="Times New Roman"/>
          <w:szCs w:val="24"/>
        </w:rPr>
        <w:t>, iż proponowana</w:t>
      </w:r>
      <w:r w:rsidR="005F2B0B" w:rsidRPr="00BF4F33">
        <w:rPr>
          <w:rFonts w:cs="Times New Roman"/>
          <w:szCs w:val="24"/>
        </w:rPr>
        <w:t xml:space="preserve"> danina</w:t>
      </w:r>
      <w:r w:rsidRPr="00BF4F33">
        <w:rPr>
          <w:rFonts w:cs="Times New Roman"/>
          <w:szCs w:val="24"/>
        </w:rPr>
        <w:t xml:space="preserve"> </w:t>
      </w:r>
      <w:r w:rsidR="005F2B0B" w:rsidRPr="00BF4F33">
        <w:rPr>
          <w:rFonts w:cs="Times New Roman"/>
          <w:szCs w:val="24"/>
        </w:rPr>
        <w:t>uwzględnia</w:t>
      </w:r>
      <w:r w:rsidR="00090147" w:rsidRPr="00BF4F33">
        <w:rPr>
          <w:rFonts w:cs="Times New Roman"/>
          <w:szCs w:val="24"/>
        </w:rPr>
        <w:t xml:space="preserve"> realia rynkowe handlu surowcami, w których transakcje zabezpieczające (hedging) stanowią powszechny i</w:t>
      </w:r>
      <w:r w:rsidR="007B6DC4" w:rsidRPr="00BF4F33">
        <w:rPr>
          <w:rFonts w:cs="Times New Roman"/>
          <w:szCs w:val="24"/>
        </w:rPr>
        <w:t> </w:t>
      </w:r>
      <w:r w:rsidR="00090147" w:rsidRPr="00BF4F33">
        <w:rPr>
          <w:rFonts w:cs="Times New Roman"/>
          <w:szCs w:val="24"/>
        </w:rPr>
        <w:t>gospodarczo uzasadniony element zarządzania ryzykiem cenowym</w:t>
      </w:r>
      <w:r w:rsidR="007B6DC4" w:rsidRPr="00BF4F33">
        <w:rPr>
          <w:rFonts w:cs="Times New Roman"/>
          <w:szCs w:val="24"/>
        </w:rPr>
        <w:t xml:space="preserve"> i kosztowym</w:t>
      </w:r>
      <w:r w:rsidR="00090147" w:rsidRPr="00BF4F33">
        <w:rPr>
          <w:rFonts w:cs="Times New Roman"/>
          <w:szCs w:val="24"/>
        </w:rPr>
        <w:t>., że podatek dotyczy faktycznej, ostatecznej rentowności podatnika, a nie jedynie nominalnych strumieni przychodowych</w:t>
      </w:r>
      <w:r w:rsidR="007B6DC4" w:rsidRPr="00BF4F33">
        <w:rPr>
          <w:rFonts w:cs="Times New Roman"/>
          <w:szCs w:val="24"/>
        </w:rPr>
        <w:t xml:space="preserve"> lub poniesionych kosztów</w:t>
      </w:r>
      <w:r w:rsidR="00090147" w:rsidRPr="00BF4F33">
        <w:rPr>
          <w:rFonts w:cs="Times New Roman"/>
          <w:szCs w:val="24"/>
        </w:rPr>
        <w:t xml:space="preserve"> oderwanych od pełnej ekonomiki prowadzonej działalności. </w:t>
      </w:r>
    </w:p>
    <w:p w14:paraId="6F3652B9" w14:textId="25F785FD" w:rsidR="00F975D2" w:rsidRPr="00BF4F33" w:rsidRDefault="00F975D2" w:rsidP="00BA1951">
      <w:pPr>
        <w:widowControl/>
        <w:spacing w:before="120"/>
        <w:jc w:val="both"/>
        <w:rPr>
          <w:rFonts w:eastAsia="Times New Roman" w:cs="Times New Roman"/>
          <w:szCs w:val="24"/>
        </w:rPr>
      </w:pPr>
      <w:r w:rsidRPr="00BF4F33">
        <w:rPr>
          <w:rFonts w:cs="Times New Roman"/>
          <w:szCs w:val="24"/>
        </w:rPr>
        <w:t xml:space="preserve">Z kolei w treści zamykającego analizowany ustęp pkt </w:t>
      </w:r>
      <w:r w:rsidR="00B8700F" w:rsidRPr="00BF4F33">
        <w:rPr>
          <w:rFonts w:cs="Times New Roman"/>
          <w:szCs w:val="24"/>
        </w:rPr>
        <w:t>1 lit. b</w:t>
      </w:r>
      <w:r w:rsidRPr="00BF4F33">
        <w:rPr>
          <w:rFonts w:cs="Times New Roman"/>
          <w:szCs w:val="24"/>
        </w:rPr>
        <w:t xml:space="preserve"> wskazano, że przy ustalaniu przychodów i kosztów na potrzeby projektowanego podatku należy uwzględniać </w:t>
      </w:r>
      <w:r w:rsidRPr="00BF4F33">
        <w:rPr>
          <w:rFonts w:eastAsia="Times New Roman" w:cs="Times New Roman"/>
          <w:szCs w:val="24"/>
        </w:rPr>
        <w:t>koszty realizacji obowiązków wynikających z odrębnych przepisów związanych z prowadzoną działalnością objętą ustawą, co gwarantuje, że podstawa opodatkowania nie jest zawyżana kosztem niezbędnych wydatków regulacyjnych</w:t>
      </w:r>
      <w:r w:rsidR="005F2B0B" w:rsidRPr="00BF4F33">
        <w:rPr>
          <w:rFonts w:eastAsia="Times New Roman" w:cs="Times New Roman"/>
          <w:szCs w:val="24"/>
        </w:rPr>
        <w:t xml:space="preserve">. </w:t>
      </w:r>
      <w:r w:rsidR="00412DDD" w:rsidRPr="00BF4F33">
        <w:rPr>
          <w:rFonts w:eastAsia="Times New Roman" w:cs="Times New Roman"/>
          <w:szCs w:val="24"/>
        </w:rPr>
        <w:t>Chodzi w tym zakresie o liczne obowiązki nałożone na podmioty zajmujące się wytwarzaniem oraz importem paliw ciekłych, w szczególności wynikające z następujących ustaw:</w:t>
      </w:r>
    </w:p>
    <w:p w14:paraId="6FD09605" w14:textId="575354EF" w:rsidR="00412DDD" w:rsidRPr="00BF4F33" w:rsidRDefault="00412DDD" w:rsidP="00BA1951">
      <w:pPr>
        <w:pStyle w:val="Akapitzlist"/>
        <w:widowControl/>
        <w:numPr>
          <w:ilvl w:val="0"/>
          <w:numId w:val="4"/>
        </w:numPr>
        <w:spacing w:after="160"/>
        <w:ind w:left="567" w:hanging="567"/>
        <w:jc w:val="both"/>
        <w:rPr>
          <w:rFonts w:eastAsia="Times New Roman" w:cs="Times New Roman"/>
          <w:szCs w:val="24"/>
        </w:rPr>
      </w:pPr>
      <w:r w:rsidRPr="00BF4F33">
        <w:rPr>
          <w:rFonts w:eastAsia="Times New Roman" w:cs="Times New Roman"/>
          <w:szCs w:val="24"/>
        </w:rPr>
        <w:t xml:space="preserve">ustawy z dnia 10 kwietnia 1997 r. </w:t>
      </w:r>
      <w:r w:rsidR="00B8700F" w:rsidRPr="00BF4F33">
        <w:rPr>
          <w:rFonts w:eastAsia="Times New Roman" w:cs="Times New Roman"/>
          <w:szCs w:val="24"/>
        </w:rPr>
        <w:t xml:space="preserve">– </w:t>
      </w:r>
      <w:r w:rsidRPr="00BF4F33">
        <w:rPr>
          <w:rFonts w:eastAsia="Times New Roman" w:cs="Times New Roman"/>
          <w:szCs w:val="24"/>
        </w:rPr>
        <w:t>Prawo energetyczne;</w:t>
      </w:r>
    </w:p>
    <w:p w14:paraId="30182C30" w14:textId="28091C1D" w:rsidR="00412DDD" w:rsidRPr="00BF4F33" w:rsidRDefault="00412DDD" w:rsidP="00BA1951">
      <w:pPr>
        <w:pStyle w:val="Akapitzlist"/>
        <w:widowControl/>
        <w:numPr>
          <w:ilvl w:val="0"/>
          <w:numId w:val="4"/>
        </w:numPr>
        <w:spacing w:after="160"/>
        <w:ind w:left="567" w:hanging="567"/>
        <w:jc w:val="both"/>
        <w:rPr>
          <w:rFonts w:eastAsia="Times New Roman" w:cs="Times New Roman"/>
          <w:szCs w:val="24"/>
        </w:rPr>
      </w:pPr>
      <w:r w:rsidRPr="00BF4F33">
        <w:rPr>
          <w:rFonts w:eastAsia="Times New Roman" w:cs="Times New Roman"/>
          <w:szCs w:val="24"/>
        </w:rPr>
        <w:t xml:space="preserve">ustawy z dnia 25 sierpnia 2006 r. o biokomponentach i biopaliwach ciekłych; </w:t>
      </w:r>
    </w:p>
    <w:p w14:paraId="2A640D46" w14:textId="00D20C58" w:rsidR="00412DDD" w:rsidRPr="00BF4F33" w:rsidRDefault="00412DDD" w:rsidP="00BA1951">
      <w:pPr>
        <w:pStyle w:val="Akapitzlist"/>
        <w:widowControl/>
        <w:numPr>
          <w:ilvl w:val="0"/>
          <w:numId w:val="4"/>
        </w:numPr>
        <w:spacing w:after="160"/>
        <w:ind w:left="567" w:hanging="567"/>
        <w:jc w:val="both"/>
        <w:rPr>
          <w:rFonts w:eastAsia="Times New Roman" w:cs="Times New Roman"/>
          <w:szCs w:val="24"/>
        </w:rPr>
      </w:pPr>
      <w:r w:rsidRPr="00BF4F33">
        <w:rPr>
          <w:rFonts w:eastAsia="Times New Roman" w:cs="Times New Roman"/>
          <w:szCs w:val="24"/>
        </w:rPr>
        <w:t xml:space="preserve">ustawy z dnia 16 lutego 2007 r. o zapasach ropy naftowej, produktów naftowych i gazu ziemnego oraz zasadach postępowania w sytuacjach zagrożenia bezpieczeństwa paliwowego państwa i zakłóceń na rynku naftowym; </w:t>
      </w:r>
    </w:p>
    <w:p w14:paraId="5B5DF61E" w14:textId="07E6A03E" w:rsidR="00412DDD" w:rsidRPr="00BF4F33" w:rsidRDefault="00412DDD" w:rsidP="00BA1951">
      <w:pPr>
        <w:pStyle w:val="Akapitzlist"/>
        <w:widowControl/>
        <w:numPr>
          <w:ilvl w:val="0"/>
          <w:numId w:val="4"/>
        </w:numPr>
        <w:spacing w:after="160"/>
        <w:ind w:left="567" w:hanging="567"/>
        <w:jc w:val="both"/>
        <w:rPr>
          <w:rFonts w:eastAsia="Times New Roman" w:cs="Times New Roman"/>
          <w:szCs w:val="24"/>
        </w:rPr>
      </w:pPr>
      <w:r w:rsidRPr="00BF4F33">
        <w:rPr>
          <w:rFonts w:eastAsia="Times New Roman" w:cs="Times New Roman"/>
          <w:szCs w:val="24"/>
        </w:rPr>
        <w:t>ustawy z dnia 20 maja 2016 r. o efektywności energetycznej;</w:t>
      </w:r>
    </w:p>
    <w:p w14:paraId="3EB7C5E0" w14:textId="702F3E2B" w:rsidR="00412DDD" w:rsidRPr="00BF4F33" w:rsidRDefault="00412DDD" w:rsidP="00BA1951">
      <w:pPr>
        <w:pStyle w:val="Akapitzlist"/>
        <w:widowControl/>
        <w:numPr>
          <w:ilvl w:val="0"/>
          <w:numId w:val="4"/>
        </w:numPr>
        <w:spacing w:after="160"/>
        <w:ind w:left="567" w:hanging="567"/>
        <w:jc w:val="both"/>
        <w:rPr>
          <w:rFonts w:eastAsia="Times New Roman" w:cs="Times New Roman"/>
          <w:szCs w:val="24"/>
        </w:rPr>
      </w:pPr>
      <w:r w:rsidRPr="00BF4F33">
        <w:rPr>
          <w:rFonts w:eastAsia="Times New Roman" w:cs="Times New Roman"/>
          <w:szCs w:val="24"/>
        </w:rPr>
        <w:t xml:space="preserve">ustawy z dnia 6 grudnia 2008 r. o podatku akcyzowym; </w:t>
      </w:r>
    </w:p>
    <w:p w14:paraId="2B2EE836" w14:textId="488F65E8" w:rsidR="00412DDD" w:rsidRPr="00BF4F33" w:rsidRDefault="00412DDD" w:rsidP="00BA1951">
      <w:pPr>
        <w:pStyle w:val="Akapitzlist"/>
        <w:widowControl/>
        <w:numPr>
          <w:ilvl w:val="0"/>
          <w:numId w:val="4"/>
        </w:numPr>
        <w:spacing w:after="160"/>
        <w:ind w:left="567" w:hanging="567"/>
        <w:jc w:val="both"/>
        <w:rPr>
          <w:rFonts w:eastAsia="Times New Roman" w:cs="Times New Roman"/>
          <w:szCs w:val="24"/>
        </w:rPr>
      </w:pPr>
      <w:r w:rsidRPr="00BF4F33">
        <w:rPr>
          <w:rFonts w:eastAsia="Times New Roman" w:cs="Times New Roman"/>
          <w:szCs w:val="24"/>
        </w:rPr>
        <w:t xml:space="preserve">ustawy z dnia 27 października 1994 r. o autostradach płatnych oraz o Krajowym Funduszu Drogowym </w:t>
      </w:r>
      <w:r w:rsidR="00BF4F33" w:rsidRPr="00BF4F33">
        <w:rPr>
          <w:rFonts w:eastAsia="Times New Roman" w:cs="Times New Roman"/>
          <w:szCs w:val="24"/>
        </w:rPr>
        <w:t>–</w:t>
      </w:r>
      <w:r w:rsidRPr="00BF4F33">
        <w:rPr>
          <w:rFonts w:eastAsia="Times New Roman" w:cs="Times New Roman"/>
          <w:szCs w:val="24"/>
        </w:rPr>
        <w:t xml:space="preserve"> w zakresie opłaty paliwowej, o której mowa w art. 37h tej ustawy;</w:t>
      </w:r>
    </w:p>
    <w:p w14:paraId="6D2AAB4E" w14:textId="5F831533" w:rsidR="00412DDD" w:rsidRPr="00BF4F33" w:rsidRDefault="00412DDD" w:rsidP="00BA1951">
      <w:pPr>
        <w:pStyle w:val="Akapitzlist"/>
        <w:widowControl/>
        <w:numPr>
          <w:ilvl w:val="0"/>
          <w:numId w:val="4"/>
        </w:numPr>
        <w:spacing w:after="160"/>
        <w:ind w:left="567" w:hanging="567"/>
        <w:jc w:val="both"/>
        <w:rPr>
          <w:rFonts w:eastAsia="Times New Roman" w:cs="Times New Roman"/>
          <w:szCs w:val="24"/>
        </w:rPr>
      </w:pPr>
      <w:r w:rsidRPr="00BF4F33">
        <w:rPr>
          <w:rFonts w:eastAsia="Times New Roman" w:cs="Times New Roman"/>
          <w:szCs w:val="24"/>
        </w:rPr>
        <w:t xml:space="preserve">ustawy z dnia 27 kwietnia 2001 r. </w:t>
      </w:r>
      <w:r w:rsidR="00BF4F33" w:rsidRPr="00BF4F33">
        <w:rPr>
          <w:rFonts w:eastAsia="Times New Roman" w:cs="Times New Roman"/>
          <w:szCs w:val="24"/>
        </w:rPr>
        <w:t xml:space="preserve">– </w:t>
      </w:r>
      <w:r w:rsidRPr="00BF4F33">
        <w:rPr>
          <w:rFonts w:eastAsia="Times New Roman" w:cs="Times New Roman"/>
          <w:szCs w:val="24"/>
        </w:rPr>
        <w:t xml:space="preserve">Prawo ochrony środowiska.  </w:t>
      </w:r>
    </w:p>
    <w:p w14:paraId="3D9D06FF" w14:textId="6E5C5146" w:rsidR="00BA388A" w:rsidRPr="00BF4F33" w:rsidRDefault="00BA388A" w:rsidP="00BA1951">
      <w:pPr>
        <w:widowControl/>
        <w:spacing w:before="120"/>
        <w:jc w:val="both"/>
        <w:rPr>
          <w:rFonts w:cs="Times New Roman"/>
          <w:szCs w:val="24"/>
        </w:rPr>
      </w:pPr>
      <w:r w:rsidRPr="00BF4F33">
        <w:rPr>
          <w:rFonts w:cs="Times New Roman"/>
          <w:szCs w:val="24"/>
        </w:rPr>
        <w:t>Jednocześnie w ramach kalkulacji przychodów i kosztów nie uwzględnia podatków, opłat i innych danin publicznych, których wysokość jest uzależniona od ilości lub wartości zbywanych paliw ciekłych, w części, w jakiej te podatki, opłaty i inne daniny publicznoprawne nie są uwzględniane przy ustalaniu przychodów referencyjnych albo przychodów faktycznych</w:t>
      </w:r>
      <w:r w:rsidR="00747B13">
        <w:rPr>
          <w:rFonts w:cs="Times New Roman"/>
          <w:szCs w:val="24"/>
        </w:rPr>
        <w:t>.</w:t>
      </w:r>
    </w:p>
    <w:p w14:paraId="406B25BF" w14:textId="27BAA01C" w:rsidR="00B8700F" w:rsidRPr="00BF4F33" w:rsidRDefault="00B8700F" w:rsidP="00BA1951">
      <w:pPr>
        <w:widowControl/>
        <w:spacing w:before="120"/>
        <w:jc w:val="both"/>
        <w:rPr>
          <w:rFonts w:cs="Times New Roman"/>
          <w:szCs w:val="24"/>
        </w:rPr>
      </w:pPr>
      <w:r w:rsidRPr="00BF4F33">
        <w:rPr>
          <w:rFonts w:cs="Times New Roman"/>
          <w:szCs w:val="24"/>
        </w:rPr>
        <w:lastRenderedPageBreak/>
        <w:t xml:space="preserve">W treści art. 7 ust. 5 pkt 2 wyłączono niezrealizowane przychody i koszty, w szczególności wyceny do wartości godziwej, niezrealizowane różnice kursowe oraz wyceny wartości zapasów paliw ciekłych – pozycje te nie odzwierciedlają faktycznych przepływów pieniężnych i nie powinny wpływać na wysokość daniny.  </w:t>
      </w:r>
    </w:p>
    <w:p w14:paraId="135A3D0E" w14:textId="4BF4F607" w:rsidR="00412DDD" w:rsidRPr="00BF4F33" w:rsidRDefault="00412DDD" w:rsidP="00BA1951">
      <w:pPr>
        <w:widowControl/>
        <w:spacing w:before="120"/>
        <w:jc w:val="both"/>
        <w:rPr>
          <w:rFonts w:cs="Times New Roman"/>
          <w:szCs w:val="24"/>
        </w:rPr>
      </w:pPr>
      <w:r w:rsidRPr="00BF4F33">
        <w:rPr>
          <w:rFonts w:cs="Times New Roman"/>
          <w:szCs w:val="24"/>
        </w:rPr>
        <w:t xml:space="preserve">Co istotne w kontekście obliczania wskaźników określonych w art. 7 (marża referencyjna, średni marża sprzedaży etc.) ujęcie obciążeń wynikających w w/w ustaw musi być dokonywane w sposób spójny tj. zarówno w bazie kosztowej branej pod uwagę </w:t>
      </w:r>
      <w:r w:rsidR="006403C8" w:rsidRPr="00BF4F33">
        <w:rPr>
          <w:rFonts w:cs="Times New Roman"/>
          <w:szCs w:val="24"/>
        </w:rPr>
        <w:t>przy kalkulacji marży referencyjnej, jak i ŚMS</w:t>
      </w:r>
      <w:r w:rsidRPr="00BF4F33">
        <w:rPr>
          <w:rFonts w:cs="Times New Roman"/>
          <w:szCs w:val="24"/>
        </w:rPr>
        <w:t xml:space="preserve">. </w:t>
      </w:r>
      <w:r w:rsidR="006403C8" w:rsidRPr="00BF4F33">
        <w:rPr>
          <w:rFonts w:cs="Times New Roman"/>
          <w:szCs w:val="24"/>
        </w:rPr>
        <w:t>Nie chodzi w tym zakresie o kwotę tych kosztów (która z oczywistych względów będzie inna), lecz o ich rodzaj (o ile nie mamy do</w:t>
      </w:r>
      <w:r w:rsidR="00B8700F" w:rsidRPr="00BF4F33">
        <w:rPr>
          <w:rFonts w:cs="Times New Roman"/>
          <w:szCs w:val="24"/>
        </w:rPr>
        <w:t xml:space="preserve"> </w:t>
      </w:r>
      <w:r w:rsidR="006403C8" w:rsidRPr="00BF4F33">
        <w:rPr>
          <w:rFonts w:cs="Times New Roman"/>
          <w:szCs w:val="24"/>
        </w:rPr>
        <w:t>czynienia z nowym obciążeniem, nieistniejący</w:t>
      </w:r>
      <w:r w:rsidR="00C21528" w:rsidRPr="00BF4F33">
        <w:rPr>
          <w:rFonts w:cs="Times New Roman"/>
          <w:szCs w:val="24"/>
        </w:rPr>
        <w:t>m</w:t>
      </w:r>
      <w:r w:rsidR="006403C8" w:rsidRPr="00BF4F33">
        <w:rPr>
          <w:rFonts w:cs="Times New Roman"/>
          <w:szCs w:val="24"/>
        </w:rPr>
        <w:t xml:space="preserve"> w roku 2025).</w:t>
      </w:r>
    </w:p>
    <w:p w14:paraId="743C832F" w14:textId="404550D8" w:rsidR="00682874" w:rsidRPr="00BF4F33" w:rsidRDefault="00682874" w:rsidP="00BA1951">
      <w:pPr>
        <w:widowControl/>
        <w:spacing w:before="120"/>
        <w:jc w:val="both"/>
        <w:rPr>
          <w:rFonts w:cs="Times New Roman"/>
          <w:szCs w:val="24"/>
        </w:rPr>
      </w:pPr>
      <w:r w:rsidRPr="00BF4F33">
        <w:rPr>
          <w:rFonts w:cs="Times New Roman"/>
          <w:szCs w:val="24"/>
        </w:rPr>
        <w:t>Ustęp 6 uzupełnia zasady ustalania przychodów faktycznych i referencyjnych o regulację dotyczącą umów związanych ze sprzedażą paliw ciekłych, obejmujących w szczególności instrumenty finansowe w rozumieniu ustawy z dnia 29 lipca 2005 r. o obrocie instrumentami finansowymi (Dz. U. z 2024 r. poz. 722)), w których dodatkowe rozliczenia pieniężne zależą od ilości lub wartości sprzedanych paliw ciekłych. Przy ustalaniu przychodów faktycznych i</w:t>
      </w:r>
      <w:r w:rsidR="00532503" w:rsidRPr="00BF4F33">
        <w:rPr>
          <w:rFonts w:cs="Times New Roman"/>
          <w:szCs w:val="24"/>
        </w:rPr>
        <w:t> </w:t>
      </w:r>
      <w:r w:rsidRPr="00BF4F33">
        <w:rPr>
          <w:rFonts w:cs="Times New Roman"/>
          <w:szCs w:val="24"/>
        </w:rPr>
        <w:t>referencyjnych</w:t>
      </w:r>
      <w:r w:rsidR="00014C85" w:rsidRPr="00BF4F33">
        <w:rPr>
          <w:rFonts w:cs="Times New Roman"/>
          <w:szCs w:val="24"/>
        </w:rPr>
        <w:t xml:space="preserve"> należy uwzględnić także wynik wygenerowany na tego typu transakcjach</w:t>
      </w:r>
      <w:r w:rsidRPr="00BF4F33">
        <w:rPr>
          <w:rFonts w:cs="Times New Roman"/>
          <w:szCs w:val="24"/>
        </w:rPr>
        <w:t>.</w:t>
      </w:r>
    </w:p>
    <w:p w14:paraId="5BD15119" w14:textId="015E19C1" w:rsidR="00F83BF6" w:rsidRPr="00BF4F33" w:rsidRDefault="00F83BF6" w:rsidP="00BA1951">
      <w:pPr>
        <w:widowControl/>
        <w:spacing w:before="120"/>
        <w:jc w:val="both"/>
        <w:rPr>
          <w:rFonts w:cs="Times New Roman"/>
          <w:szCs w:val="24"/>
        </w:rPr>
      </w:pPr>
      <w:r w:rsidRPr="00BF4F33">
        <w:rPr>
          <w:rFonts w:cs="Times New Roman"/>
          <w:szCs w:val="24"/>
        </w:rPr>
        <w:t xml:space="preserve">Ustęp </w:t>
      </w:r>
      <w:r w:rsidR="00682874" w:rsidRPr="00BF4F33">
        <w:rPr>
          <w:rFonts w:cs="Times New Roman"/>
          <w:szCs w:val="24"/>
        </w:rPr>
        <w:t>7</w:t>
      </w:r>
      <w:r w:rsidR="00BA388A" w:rsidRPr="00BF4F33">
        <w:rPr>
          <w:rFonts w:cs="Times New Roman"/>
          <w:szCs w:val="24"/>
        </w:rPr>
        <w:t xml:space="preserve"> pkt 1</w:t>
      </w:r>
      <w:r w:rsidRPr="00BF4F33">
        <w:rPr>
          <w:rFonts w:cs="Times New Roman"/>
          <w:szCs w:val="24"/>
        </w:rPr>
        <w:t xml:space="preserve"> wprowadza zasadę proporcjonalnego podziału kosztów na wypadek, gdy nie jest możliwe ich jednoznaczne przypisanie do przychodów ze </w:t>
      </w:r>
      <w:r w:rsidR="00BA388A" w:rsidRPr="00BF4F33">
        <w:rPr>
          <w:rFonts w:cs="Times New Roman"/>
          <w:szCs w:val="24"/>
        </w:rPr>
        <w:t xml:space="preserve">zbycia </w:t>
      </w:r>
      <w:r w:rsidRPr="00BF4F33">
        <w:rPr>
          <w:rFonts w:cs="Times New Roman"/>
          <w:szCs w:val="24"/>
        </w:rPr>
        <w:t xml:space="preserve">paliw ciekłych. W takiej sytuacji koszty ustala się w stosunku odpowiadającym udziałowi przychodów ze </w:t>
      </w:r>
      <w:r w:rsidR="00BA388A" w:rsidRPr="00BF4F33">
        <w:rPr>
          <w:rFonts w:cs="Times New Roman"/>
          <w:szCs w:val="24"/>
        </w:rPr>
        <w:t xml:space="preserve">zbycia </w:t>
      </w:r>
      <w:r w:rsidRPr="00BF4F33">
        <w:rPr>
          <w:rFonts w:cs="Times New Roman"/>
          <w:szCs w:val="24"/>
        </w:rPr>
        <w:t>paliw ciekłych w łącznych przychodach podatnika</w:t>
      </w:r>
      <w:r w:rsidR="00532503" w:rsidRPr="00BF4F33">
        <w:rPr>
          <w:rFonts w:cs="Times New Roman"/>
          <w:szCs w:val="24"/>
        </w:rPr>
        <w:t xml:space="preserve"> ze sprzedaży towarów i produktów (a zatem „przychodów”, zgodnie z ich definicją zawartą w art. 2 pkt 4 projektu)</w:t>
      </w:r>
      <w:r w:rsidRPr="00BF4F33">
        <w:rPr>
          <w:rFonts w:cs="Times New Roman"/>
          <w:szCs w:val="24"/>
        </w:rPr>
        <w:t>. Rozwiązanie to eliminuje ryzyko dowolności przy alokacji kosztów wspólnych, zapewniając metodologiczną spójność obliczania podstawy opodatkowania.</w:t>
      </w:r>
      <w:r w:rsidR="00F975D2" w:rsidRPr="00BF4F33">
        <w:rPr>
          <w:rFonts w:cs="Times New Roman"/>
          <w:szCs w:val="24"/>
        </w:rPr>
        <w:t xml:space="preserve"> </w:t>
      </w:r>
      <w:r w:rsidR="00BA388A" w:rsidRPr="00BF4F33">
        <w:rPr>
          <w:rFonts w:cs="Times New Roman"/>
          <w:szCs w:val="24"/>
        </w:rPr>
        <w:t>Analogiczny sposób, zgodnie z ust. 7 pkt 2, znajdzie zastosowanie przy uwzględnianiu w przychodach faktycznych, kosztach faktycznych, przychodach referencyjnych lub kosztach referencyjnych wyniku na pochodnych instrumentach finansowych, o którym mowa w ust. 5 pkt 1 lit. a</w:t>
      </w:r>
      <w:r w:rsidR="00747B13">
        <w:rPr>
          <w:rFonts w:cs="Times New Roman"/>
          <w:szCs w:val="24"/>
        </w:rPr>
        <w:t>.</w:t>
      </w:r>
    </w:p>
    <w:p w14:paraId="7313E23D" w14:textId="085606BE" w:rsidR="00BA388A" w:rsidRPr="00BF4F33" w:rsidRDefault="00BA388A" w:rsidP="00BA1951">
      <w:pPr>
        <w:widowControl/>
        <w:spacing w:before="120"/>
        <w:jc w:val="both"/>
        <w:rPr>
          <w:rFonts w:cs="Times New Roman"/>
          <w:szCs w:val="24"/>
        </w:rPr>
      </w:pPr>
      <w:r w:rsidRPr="00BF4F33">
        <w:rPr>
          <w:rFonts w:cs="Times New Roman"/>
          <w:szCs w:val="24"/>
        </w:rPr>
        <w:t xml:space="preserve">Ustęp 8 </w:t>
      </w:r>
      <w:r w:rsidR="000612BF" w:rsidRPr="00BF4F33">
        <w:rPr>
          <w:rFonts w:cs="Times New Roman"/>
          <w:szCs w:val="24"/>
        </w:rPr>
        <w:t>w</w:t>
      </w:r>
      <w:r w:rsidRPr="00BF4F33">
        <w:rPr>
          <w:rFonts w:cs="Times New Roman"/>
          <w:szCs w:val="24"/>
        </w:rPr>
        <w:t>yłącza stosowanie proporcjonalnej alokacji do ceny nabycia i kosztu wytworzenia paliw ciekłych, jeżeli wartości te są ustalane zgodnie z przepisami o rachunkowości lub właściwymi standardami rachunkowości</w:t>
      </w:r>
      <w:r w:rsidR="00747B13">
        <w:rPr>
          <w:rFonts w:cs="Times New Roman"/>
          <w:szCs w:val="24"/>
        </w:rPr>
        <w:t>.</w:t>
      </w:r>
    </w:p>
    <w:p w14:paraId="0FE0E9AC" w14:textId="66F17D9D" w:rsidR="00F83BF6" w:rsidRPr="00BF4F33" w:rsidRDefault="00F83BF6" w:rsidP="00BA1951">
      <w:pPr>
        <w:widowControl/>
        <w:spacing w:before="120"/>
        <w:jc w:val="both"/>
        <w:rPr>
          <w:rFonts w:cs="Times New Roman"/>
          <w:szCs w:val="24"/>
        </w:rPr>
      </w:pPr>
      <w:r w:rsidRPr="00BF4F33">
        <w:rPr>
          <w:rFonts w:cs="Times New Roman"/>
          <w:szCs w:val="24"/>
        </w:rPr>
        <w:t xml:space="preserve">Ustęp </w:t>
      </w:r>
      <w:r w:rsidR="00BA388A" w:rsidRPr="00BF4F33">
        <w:rPr>
          <w:rFonts w:cs="Times New Roman"/>
          <w:szCs w:val="24"/>
        </w:rPr>
        <w:t xml:space="preserve">9 </w:t>
      </w:r>
      <w:r w:rsidRPr="00BF4F33">
        <w:rPr>
          <w:rFonts w:cs="Times New Roman"/>
          <w:szCs w:val="24"/>
        </w:rPr>
        <w:t xml:space="preserve">reguluje sytuację podatników, którzy prowadzili działalność, o której mowa w art. 5, jedynie przez część roku 2025. W takim przypadku do obliczenia ŚMS uwzględnia się wyłącznie miesiące, w których działalność ta była faktycznie prowadzona. Przepis ten </w:t>
      </w:r>
      <w:r w:rsidRPr="00BF4F33">
        <w:rPr>
          <w:rFonts w:cs="Times New Roman"/>
          <w:szCs w:val="24"/>
        </w:rPr>
        <w:lastRenderedPageBreak/>
        <w:t>uszczelnia regulację i eliminuje ryzyko zniekształcenia marży referencyjnej przez miesiące, w których podatnik jeszcze lub już nie prowadził działalności objętej ustawą</w:t>
      </w:r>
      <w:r w:rsidR="00747B13">
        <w:rPr>
          <w:rFonts w:cs="Times New Roman"/>
          <w:szCs w:val="24"/>
        </w:rPr>
        <w:t>.</w:t>
      </w:r>
    </w:p>
    <w:p w14:paraId="26022B5C" w14:textId="7F42F518" w:rsidR="00247929" w:rsidRPr="00BF4F33" w:rsidRDefault="00247929" w:rsidP="00BA1951">
      <w:pPr>
        <w:widowControl/>
        <w:spacing w:before="120"/>
        <w:jc w:val="both"/>
        <w:rPr>
          <w:rFonts w:cs="Times New Roman"/>
          <w:szCs w:val="24"/>
        </w:rPr>
      </w:pPr>
      <w:r w:rsidRPr="00BF4F33">
        <w:rPr>
          <w:rFonts w:cs="Times New Roman"/>
          <w:szCs w:val="24"/>
        </w:rPr>
        <w:t xml:space="preserve">Ustęp </w:t>
      </w:r>
      <w:r w:rsidR="00BA388A" w:rsidRPr="00BF4F33">
        <w:rPr>
          <w:rFonts w:cs="Times New Roman"/>
          <w:szCs w:val="24"/>
        </w:rPr>
        <w:t xml:space="preserve">10 </w:t>
      </w:r>
      <w:r w:rsidRPr="00BF4F33">
        <w:rPr>
          <w:rFonts w:cs="Times New Roman"/>
          <w:szCs w:val="24"/>
        </w:rPr>
        <w:t xml:space="preserve">zapewnia ciągłość stosowania mechanizmu w przypadku podmiotów powstałych w wyniku działań restrukturyzacyjnych, przejmujących lub łączących się z innymi podatnikami. </w:t>
      </w:r>
    </w:p>
    <w:p w14:paraId="1CD74352" w14:textId="3E5C09E8" w:rsidR="00995EAF" w:rsidRPr="00BF4F33" w:rsidRDefault="00995EAF" w:rsidP="00BA1951">
      <w:pPr>
        <w:widowControl/>
        <w:spacing w:before="120"/>
        <w:jc w:val="both"/>
        <w:rPr>
          <w:rFonts w:cs="Times New Roman"/>
          <w:szCs w:val="24"/>
        </w:rPr>
      </w:pPr>
      <w:r w:rsidRPr="00BF4F33">
        <w:rPr>
          <w:rFonts w:cs="Times New Roman"/>
          <w:b/>
          <w:bCs/>
          <w:szCs w:val="24"/>
        </w:rPr>
        <w:t xml:space="preserve">Art. </w:t>
      </w:r>
      <w:r w:rsidR="00CE2835" w:rsidRPr="00BF4F33">
        <w:rPr>
          <w:rFonts w:cs="Times New Roman"/>
          <w:b/>
          <w:bCs/>
          <w:szCs w:val="24"/>
        </w:rPr>
        <w:t xml:space="preserve">8 </w:t>
      </w:r>
      <w:r w:rsidRPr="00BF4F33">
        <w:rPr>
          <w:rFonts w:cs="Times New Roman"/>
          <w:szCs w:val="24"/>
        </w:rPr>
        <w:t xml:space="preserve">– </w:t>
      </w:r>
      <w:r w:rsidR="00143F2D" w:rsidRPr="00BF4F33">
        <w:rPr>
          <w:rFonts w:cs="Times New Roman"/>
          <w:szCs w:val="24"/>
        </w:rPr>
        <w:t>określa</w:t>
      </w:r>
      <w:r w:rsidRPr="00BF4F33">
        <w:rPr>
          <w:rFonts w:cs="Times New Roman"/>
          <w:szCs w:val="24"/>
        </w:rPr>
        <w:t xml:space="preserve"> stawkę podatku od nadzwyczajnych zysków na poziomie </w:t>
      </w:r>
      <w:r w:rsidR="00C032FF" w:rsidRPr="00BF4F33">
        <w:rPr>
          <w:rFonts w:cs="Times New Roman"/>
          <w:szCs w:val="24"/>
        </w:rPr>
        <w:t>60</w:t>
      </w:r>
      <w:r w:rsidRPr="00BF4F33">
        <w:rPr>
          <w:rFonts w:cs="Times New Roman"/>
          <w:szCs w:val="24"/>
        </w:rPr>
        <w:t>% podstawy opodatkowania. Mechanizm ten zapewnia istotny stopień redystrybucji środków w</w:t>
      </w:r>
      <w:r w:rsidR="005575DC" w:rsidRPr="00BF4F33">
        <w:rPr>
          <w:rFonts w:cs="Times New Roman"/>
          <w:szCs w:val="24"/>
        </w:rPr>
        <w:t> </w:t>
      </w:r>
      <w:r w:rsidRPr="00BF4F33">
        <w:rPr>
          <w:rFonts w:cs="Times New Roman"/>
          <w:szCs w:val="24"/>
        </w:rPr>
        <w:t xml:space="preserve">celu łagodzenia skutków kryzysu, równocześnie pozostawiając </w:t>
      </w:r>
      <w:r w:rsidR="0054661F" w:rsidRPr="00BF4F33">
        <w:rPr>
          <w:rFonts w:cs="Times New Roman"/>
          <w:szCs w:val="24"/>
        </w:rPr>
        <w:t xml:space="preserve">adekwatną </w:t>
      </w:r>
      <w:r w:rsidRPr="00BF4F33">
        <w:rPr>
          <w:rFonts w:cs="Times New Roman"/>
          <w:szCs w:val="24"/>
        </w:rPr>
        <w:t>część nadmiarowych zysków do wyłącznej dyspozycji podatnika.</w:t>
      </w:r>
      <w:r w:rsidR="00C032FF" w:rsidRPr="00BF4F33">
        <w:rPr>
          <w:rFonts w:cs="Times New Roman"/>
          <w:szCs w:val="24"/>
        </w:rPr>
        <w:t xml:space="preserve"> </w:t>
      </w:r>
    </w:p>
    <w:p w14:paraId="1D1F11D3" w14:textId="580D766C" w:rsidR="007E5B6A" w:rsidRPr="00BF4F33" w:rsidRDefault="007E5B6A" w:rsidP="00BA1951">
      <w:pPr>
        <w:widowControl/>
        <w:spacing w:before="120"/>
        <w:jc w:val="both"/>
        <w:rPr>
          <w:rFonts w:cs="Times New Roman"/>
          <w:szCs w:val="24"/>
        </w:rPr>
      </w:pPr>
      <w:r w:rsidRPr="00BF4F33">
        <w:rPr>
          <w:rFonts w:cs="Times New Roman"/>
          <w:szCs w:val="24"/>
        </w:rPr>
        <w:t xml:space="preserve">Ustalenie stawki na tym poziomie należy oceniać z uwzględnieniem konstrukcji całej daniny. Podatek nie obejmuje bowiem całości wyniku finansowego podatnika ani całości marży osiąganej w toku prowadzonej działalności gospodarczej. Opodatkowaniu podlega wyłącznie nadwyżka przychodów faktycznych ponad przychody hipotetyczne obliczone przy zastosowaniu marży referencyjnej, tj. marży historycznej powiększonej o 20%. Oznacza to, że zwykła, referencyjna rentowność podatnika, a także dodatkowy bufor odpowiadający 20% historycznej marży, pozostają poza zakresem </w:t>
      </w:r>
      <w:r w:rsidR="00B8700F" w:rsidRPr="00BF4F33">
        <w:rPr>
          <w:rFonts w:cs="Times New Roman"/>
          <w:szCs w:val="24"/>
        </w:rPr>
        <w:t>wprowadzanego podatku</w:t>
      </w:r>
      <w:r w:rsidRPr="00BF4F33">
        <w:rPr>
          <w:rFonts w:cs="Times New Roman"/>
          <w:szCs w:val="24"/>
        </w:rPr>
        <w:t>. W konsekwencji stawka 60% odnosi się wyłącznie do tej części korzyści ekonomicznej, która przekracza poziom uznany przez projektodawcę za odpowiadający normalnym warunkom rynkowym</w:t>
      </w:r>
      <w:r w:rsidR="00C431FD" w:rsidRPr="00BF4F33">
        <w:rPr>
          <w:rFonts w:cs="Times New Roman"/>
          <w:szCs w:val="24"/>
        </w:rPr>
        <w:t xml:space="preserve"> i nie jest tożsama z efektywną stopą opodatkowania</w:t>
      </w:r>
      <w:r w:rsidRPr="00BF4F33">
        <w:rPr>
          <w:rFonts w:cs="Times New Roman"/>
          <w:szCs w:val="24"/>
        </w:rPr>
        <w:t>. Zaproponowana wysokość stawki realizuje zatem funkcję redystrybucyjną podatku, nie prowadząc jednocześnie do opodatkowania standardowego wyniku działalności.</w:t>
      </w:r>
      <w:r w:rsidR="00E67B0F" w:rsidRPr="00BF4F33">
        <w:rPr>
          <w:rFonts w:cs="Times New Roman"/>
          <w:szCs w:val="24"/>
        </w:rPr>
        <w:t xml:space="preserve"> Taka sama wysokość „bufora” została przyjęta w</w:t>
      </w:r>
      <w:r w:rsidR="006865D1" w:rsidRPr="00BF4F33">
        <w:rPr>
          <w:rFonts w:cs="Times New Roman"/>
          <w:szCs w:val="24"/>
        </w:rPr>
        <w:t> </w:t>
      </w:r>
      <w:r w:rsidR="00E67B0F" w:rsidRPr="00BF4F33">
        <w:rPr>
          <w:rFonts w:cs="Times New Roman"/>
          <w:szCs w:val="24"/>
        </w:rPr>
        <w:t>przepisach unijnych z 2022 r. (w zakresie składki solidarnościowej)</w:t>
      </w:r>
      <w:r w:rsidR="00E67B0F" w:rsidRPr="00BF4F33">
        <w:rPr>
          <w:rStyle w:val="Odwoanieprzypisudolnego"/>
          <w:rFonts w:cs="Times New Roman"/>
          <w:szCs w:val="24"/>
        </w:rPr>
        <w:footnoteReference w:id="10"/>
      </w:r>
      <w:r w:rsidR="00BF4F33" w:rsidRPr="00BF4F33">
        <w:rPr>
          <w:rFonts w:cs="Times New Roman"/>
          <w:szCs w:val="24"/>
          <w:vertAlign w:val="superscript"/>
        </w:rPr>
        <w:t>)</w:t>
      </w:r>
      <w:r w:rsidR="00E67B0F" w:rsidRPr="00BF4F33">
        <w:rPr>
          <w:rFonts w:cs="Times New Roman"/>
          <w:szCs w:val="24"/>
        </w:rPr>
        <w:t xml:space="preserve"> oraz wdrażającej je ustawie </w:t>
      </w:r>
      <w:r w:rsidR="00E67B0F" w:rsidRPr="00BF4F33">
        <w:rPr>
          <w:rFonts w:cs="Times New Roman"/>
          <w:color w:val="000000"/>
          <w:szCs w:val="24"/>
        </w:rPr>
        <w:t>dnia 16 sierpnia 2023 r. o zmianie ustawy o szczególnych rozwiązaniach służących ochronie odbiorców energii elektrycznej w 2023 roku w związku z sytuacją na rynku energii elektrycznej oraz niektórych innych ustaw (Dz.</w:t>
      </w:r>
      <w:r w:rsidR="00747B13">
        <w:rPr>
          <w:rFonts w:cs="Times New Roman"/>
          <w:color w:val="000000"/>
          <w:szCs w:val="24"/>
        </w:rPr>
        <w:t xml:space="preserve"> </w:t>
      </w:r>
      <w:r w:rsidR="00E67B0F" w:rsidRPr="00BF4F33">
        <w:rPr>
          <w:rFonts w:cs="Times New Roman"/>
          <w:color w:val="000000"/>
          <w:szCs w:val="24"/>
        </w:rPr>
        <w:t xml:space="preserve">U. </w:t>
      </w:r>
      <w:r w:rsidR="00747B13">
        <w:rPr>
          <w:rFonts w:cs="Times New Roman"/>
          <w:color w:val="000000"/>
          <w:szCs w:val="24"/>
        </w:rPr>
        <w:t xml:space="preserve">z </w:t>
      </w:r>
      <w:r w:rsidR="00E67B0F" w:rsidRPr="00BF4F33">
        <w:rPr>
          <w:rFonts w:cs="Times New Roman"/>
          <w:color w:val="000000"/>
          <w:szCs w:val="24"/>
        </w:rPr>
        <w:t xml:space="preserve">2023 </w:t>
      </w:r>
      <w:r w:rsidR="00747B13">
        <w:rPr>
          <w:rFonts w:cs="Times New Roman"/>
          <w:color w:val="000000"/>
          <w:szCs w:val="24"/>
        </w:rPr>
        <w:t xml:space="preserve">r. </w:t>
      </w:r>
      <w:r w:rsidR="00E67B0F" w:rsidRPr="00BF4F33">
        <w:rPr>
          <w:rFonts w:cs="Times New Roman"/>
          <w:color w:val="000000"/>
          <w:szCs w:val="24"/>
        </w:rPr>
        <w:t>poz. 1785).</w:t>
      </w:r>
    </w:p>
    <w:p w14:paraId="39EFBDF9" w14:textId="47A864E3" w:rsidR="007E5B6A" w:rsidRPr="00BF4F33" w:rsidRDefault="007E5B6A" w:rsidP="00BA1951">
      <w:pPr>
        <w:widowControl/>
        <w:spacing w:before="120"/>
        <w:jc w:val="both"/>
        <w:rPr>
          <w:rFonts w:cs="Times New Roman"/>
          <w:szCs w:val="24"/>
        </w:rPr>
      </w:pPr>
      <w:r w:rsidRPr="00BF4F33">
        <w:rPr>
          <w:rFonts w:cs="Times New Roman"/>
          <w:szCs w:val="24"/>
        </w:rPr>
        <w:t xml:space="preserve">Należy przy tym zaznaczyć, że ocena proporcjonalności zaproponowanej stawki powinna być dokonywana również w szerszym kontekście, obejmującym całokształt działań osłonowych podjętych w reakcji na wzrost cen paliw. </w:t>
      </w:r>
      <w:r w:rsidR="00F83BF6" w:rsidRPr="00BF4F33">
        <w:rPr>
          <w:rFonts w:cs="Times New Roman"/>
          <w:szCs w:val="24"/>
        </w:rPr>
        <w:t>Ciężar realizowanych działań osłonowych</w:t>
      </w:r>
      <w:r w:rsidRPr="00BF4F33">
        <w:rPr>
          <w:rFonts w:cs="Times New Roman"/>
          <w:szCs w:val="24"/>
        </w:rPr>
        <w:t xml:space="preserve">, ponoszony jest przez budżet państwa, a więc pośrednio przez ogół podatników. </w:t>
      </w:r>
      <w:r w:rsidR="00F83BF6" w:rsidRPr="00BF4F33">
        <w:rPr>
          <w:rFonts w:cs="Times New Roman"/>
          <w:szCs w:val="24"/>
        </w:rPr>
        <w:t>Wprowadzone mechanizmy osłonowe</w:t>
      </w:r>
      <w:r w:rsidRPr="00BF4F33">
        <w:rPr>
          <w:rFonts w:cs="Times New Roman"/>
          <w:szCs w:val="24"/>
        </w:rPr>
        <w:t xml:space="preserve"> służą ograniczeniu ciężarów ekonomicznych ponoszonych przez </w:t>
      </w:r>
      <w:r w:rsidRPr="00BF4F33">
        <w:rPr>
          <w:rFonts w:cs="Times New Roman"/>
          <w:szCs w:val="24"/>
        </w:rPr>
        <w:lastRenderedPageBreak/>
        <w:t>gospodarstwa domowe oraz przedsiębiorców korzystających z paliw w bieżącej działalności, w szczególności w transporcie, produkcji i świadczeniu usług.</w:t>
      </w:r>
      <w:r w:rsidR="00F83BF6" w:rsidRPr="00BF4F33">
        <w:rPr>
          <w:rFonts w:cs="Times New Roman"/>
          <w:szCs w:val="24"/>
        </w:rPr>
        <w:t xml:space="preserve"> Skoro zatem koszty działań osłonowych są finansowane ze środków publicznych, zasadne jest, aby podmioty, które w tych samych nadzwyczajnych warunkach rynkowych osiągnęły ponadprzeciętne korzyści, partycypowały w finansowaniu skutków kryzysu</w:t>
      </w:r>
      <w:r w:rsidR="00747B13">
        <w:rPr>
          <w:rFonts w:cs="Times New Roman"/>
          <w:szCs w:val="24"/>
        </w:rPr>
        <w:t>.</w:t>
      </w:r>
    </w:p>
    <w:p w14:paraId="20C284D5" w14:textId="256967C4" w:rsidR="007E5B6A" w:rsidRPr="00BF4F33" w:rsidRDefault="007E5B6A" w:rsidP="00BA1951">
      <w:pPr>
        <w:widowControl/>
        <w:spacing w:before="120"/>
        <w:jc w:val="both"/>
        <w:rPr>
          <w:rFonts w:cs="Times New Roman"/>
          <w:szCs w:val="24"/>
        </w:rPr>
      </w:pPr>
      <w:r w:rsidRPr="00BF4F33">
        <w:rPr>
          <w:rFonts w:cs="Times New Roman"/>
          <w:szCs w:val="24"/>
        </w:rPr>
        <w:t xml:space="preserve">W tym ujęciu stawka 60% stanowi rozwiązanie proporcjonalne, wyważające interes publiczny oraz interes podatników objętych regulacją. Z jednej strony pozwala na </w:t>
      </w:r>
      <w:r w:rsidR="00C431FD" w:rsidRPr="00BF4F33">
        <w:rPr>
          <w:rFonts w:cs="Times New Roman"/>
          <w:szCs w:val="24"/>
        </w:rPr>
        <w:t>„</w:t>
      </w:r>
      <w:r w:rsidRPr="00BF4F33">
        <w:rPr>
          <w:rFonts w:cs="Times New Roman"/>
          <w:szCs w:val="24"/>
        </w:rPr>
        <w:t>odzyskanie</w:t>
      </w:r>
      <w:r w:rsidR="00C431FD" w:rsidRPr="00BF4F33">
        <w:rPr>
          <w:rFonts w:cs="Times New Roman"/>
          <w:szCs w:val="24"/>
        </w:rPr>
        <w:t>”</w:t>
      </w:r>
      <w:r w:rsidRPr="00BF4F33">
        <w:rPr>
          <w:rFonts w:cs="Times New Roman"/>
          <w:szCs w:val="24"/>
        </w:rPr>
        <w:t xml:space="preserve"> istotnej części nadzwyczajnych korzyści i częściową kompensację ubytku dochodów publicznych wynikającego z zastosowania obniżek VAT i akcyzy. Z drugiej strony nie obejmuje zwykłej rentowności działalności gospodarczej, lecz jedynie nadwyżkę ponad poziom referencyjny, dodatkowo powiększony o 20%. Tym samym projektowana stawka pozostaje adekwatna do celu regulacji, którym jest sprawiedliwe rozłożenie ciężarów nadzwyczajnej sytuacji rynkowej pomiędzy ogół podatników korzystających z działań osłonowych a podmioty uzyskujące w tym okresie ponadprzeciętne zyski</w:t>
      </w:r>
      <w:r w:rsidR="00BA388A" w:rsidRPr="00BF4F33">
        <w:rPr>
          <w:rFonts w:cs="Times New Roman"/>
          <w:szCs w:val="24"/>
        </w:rPr>
        <w:t>.</w:t>
      </w:r>
    </w:p>
    <w:p w14:paraId="464C3B51" w14:textId="3E3B526C" w:rsidR="00BA388A" w:rsidRPr="00BF4F33" w:rsidRDefault="00BA388A" w:rsidP="00BA1951">
      <w:pPr>
        <w:widowControl/>
        <w:spacing w:before="120"/>
        <w:jc w:val="both"/>
        <w:rPr>
          <w:rFonts w:cs="Times New Roman"/>
          <w:szCs w:val="24"/>
        </w:rPr>
      </w:pPr>
      <w:r w:rsidRPr="00BF4F33">
        <w:rPr>
          <w:rFonts w:cs="Times New Roman"/>
          <w:szCs w:val="24"/>
        </w:rPr>
        <w:t xml:space="preserve">Ust. 2 </w:t>
      </w:r>
      <w:r w:rsidR="000612BF" w:rsidRPr="00BF4F33">
        <w:rPr>
          <w:rFonts w:cs="Times New Roman"/>
          <w:szCs w:val="24"/>
        </w:rPr>
        <w:t>w</w:t>
      </w:r>
      <w:r w:rsidRPr="00BF4F33">
        <w:rPr>
          <w:rFonts w:cs="Times New Roman"/>
          <w:szCs w:val="24"/>
        </w:rPr>
        <w:t>prowadza dla podatników nieprowadzących działalności w zakresie wytwarzania paliw ciekłych ograniczenie wysokości podatku do proporcjonalnie przypadającego na rok podatkowy dochodu podatkowego albo zysku netto. Regulacja ta gwarantuje, że niniejsza kategoria podatników nie poniesie ciężaru podatku od nadzwyczajnych zysków ponad zdolność płatniczą odnoszącą się do całej działalności podatnika.</w:t>
      </w:r>
    </w:p>
    <w:p w14:paraId="57BE9AFA" w14:textId="0E7F6A5C" w:rsidR="00BA388A" w:rsidRPr="00BF4F33" w:rsidRDefault="00BA388A" w:rsidP="00BA1951">
      <w:pPr>
        <w:widowControl/>
        <w:spacing w:before="120"/>
        <w:jc w:val="both"/>
        <w:rPr>
          <w:rFonts w:cs="Times New Roman"/>
          <w:szCs w:val="24"/>
        </w:rPr>
      </w:pPr>
      <w:r w:rsidRPr="00BF4F33">
        <w:rPr>
          <w:rFonts w:cs="Times New Roman"/>
          <w:szCs w:val="24"/>
        </w:rPr>
        <w:t xml:space="preserve">Ust. 3 </w:t>
      </w:r>
      <w:r w:rsidR="000612BF" w:rsidRPr="00BF4F33">
        <w:rPr>
          <w:rFonts w:cs="Times New Roman"/>
          <w:szCs w:val="24"/>
        </w:rPr>
        <w:t>o</w:t>
      </w:r>
      <w:r w:rsidRPr="00BF4F33">
        <w:rPr>
          <w:rFonts w:cs="Times New Roman"/>
          <w:szCs w:val="24"/>
        </w:rPr>
        <w:t>kreśla, że dochód stanowiący limit podatku ustala się przed pomniejszeniami i odliczeniami, w tym przed odliczeniem straty z lat ubiegłych.</w:t>
      </w:r>
    </w:p>
    <w:p w14:paraId="2BA92583" w14:textId="372170B5" w:rsidR="00675006" w:rsidRPr="00BF4F33" w:rsidRDefault="00675006" w:rsidP="00BA1951">
      <w:pPr>
        <w:widowControl/>
        <w:spacing w:before="120"/>
        <w:jc w:val="both"/>
        <w:rPr>
          <w:rFonts w:cs="Times New Roman"/>
          <w:szCs w:val="24"/>
        </w:rPr>
      </w:pPr>
      <w:bookmarkStart w:id="0" w:name="_Hlk230933193"/>
      <w:r w:rsidRPr="00BF4F33">
        <w:rPr>
          <w:rFonts w:cs="Times New Roman"/>
          <w:b/>
          <w:bCs/>
          <w:szCs w:val="24"/>
        </w:rPr>
        <w:t xml:space="preserve">Art. </w:t>
      </w:r>
      <w:r w:rsidR="00CE2835" w:rsidRPr="00BF4F33">
        <w:rPr>
          <w:rFonts w:cs="Times New Roman"/>
          <w:b/>
          <w:bCs/>
          <w:szCs w:val="24"/>
        </w:rPr>
        <w:t xml:space="preserve">9 </w:t>
      </w:r>
      <w:r w:rsidR="00CC61E8" w:rsidRPr="00BF4F33">
        <w:rPr>
          <w:rFonts w:cs="Times New Roman"/>
          <w:szCs w:val="24"/>
        </w:rPr>
        <w:t>–</w:t>
      </w:r>
      <w:r w:rsidR="00143F2D" w:rsidRPr="00BF4F33">
        <w:rPr>
          <w:rFonts w:cs="Times New Roman"/>
          <w:szCs w:val="24"/>
        </w:rPr>
        <w:t xml:space="preserve"> </w:t>
      </w:r>
      <w:r w:rsidRPr="00BF4F33">
        <w:rPr>
          <w:rFonts w:cs="Times New Roman"/>
          <w:szCs w:val="24"/>
        </w:rPr>
        <w:t xml:space="preserve">określa obowiązki podatnika w zakresie rozliczenia podatku od nadzwyczajnych zysków. </w:t>
      </w:r>
    </w:p>
    <w:p w14:paraId="26A60FC9" w14:textId="18ED967D" w:rsidR="00675006" w:rsidRPr="00BF4F33" w:rsidRDefault="00675006" w:rsidP="00BA1951">
      <w:pPr>
        <w:widowControl/>
        <w:spacing w:before="120"/>
        <w:jc w:val="both"/>
        <w:rPr>
          <w:rFonts w:cs="Times New Roman"/>
          <w:szCs w:val="24"/>
        </w:rPr>
      </w:pPr>
      <w:r w:rsidRPr="00BF4F33">
        <w:rPr>
          <w:rFonts w:cs="Times New Roman"/>
          <w:szCs w:val="24"/>
        </w:rPr>
        <w:t xml:space="preserve">Pierwszym jest obliczanie i wpłacanie na rachunek właściwego naczelnika urzędu skarbowego miesięcznych zaliczek na podatek, obliczanych narastająco. Mechanizm narastający oznacza, że zaliczka należna za dany miesiąc nie jest obliczana wyłącznie od wyników tego miesiąca, lecz stanowi różnicę między podatkiem obliczonym od początku </w:t>
      </w:r>
      <w:r w:rsidR="00C377E4" w:rsidRPr="00BF4F33">
        <w:rPr>
          <w:rFonts w:cs="Times New Roman"/>
          <w:szCs w:val="24"/>
        </w:rPr>
        <w:t>okresu rozliczeniowego</w:t>
      </w:r>
      <w:r w:rsidRPr="00BF4F33">
        <w:rPr>
          <w:rFonts w:cs="Times New Roman"/>
          <w:szCs w:val="24"/>
        </w:rPr>
        <w:t xml:space="preserve"> do końca danego miesiąca</w:t>
      </w:r>
      <w:r w:rsidR="00CC61E8" w:rsidRPr="00BF4F33">
        <w:rPr>
          <w:rFonts w:cs="Times New Roman"/>
          <w:szCs w:val="24"/>
        </w:rPr>
        <w:t>,</w:t>
      </w:r>
      <w:r w:rsidRPr="00BF4F33">
        <w:rPr>
          <w:rFonts w:cs="Times New Roman"/>
          <w:szCs w:val="24"/>
        </w:rPr>
        <w:t xml:space="preserve"> a sumą zaliczek uprzednio wpłaconych. Jeżeli podatek obliczony narastająco w danym miesiącu jest niższy od sumy dotychczas wpłaconych zaliczek, zaliczka za ten miesiąc wynosi zero, a nadpłata jest rozliczana przy kolejnych zaliczkach lub w ramach rocznego zeznania podatkowego. Mechanizm ten koreluje z konstrukcją podstawy opodatkowania określoną w art. </w:t>
      </w:r>
      <w:r w:rsidR="00CE2835" w:rsidRPr="00BF4F33">
        <w:rPr>
          <w:rFonts w:cs="Times New Roman"/>
          <w:szCs w:val="24"/>
        </w:rPr>
        <w:t>7</w:t>
      </w:r>
      <w:r w:rsidRPr="00BF4F33">
        <w:rPr>
          <w:rFonts w:cs="Times New Roman"/>
          <w:szCs w:val="24"/>
        </w:rPr>
        <w:t xml:space="preserve">, której </w:t>
      </w:r>
      <w:r w:rsidR="00E51EC8" w:rsidRPr="00BF4F33">
        <w:rPr>
          <w:rFonts w:cs="Times New Roman"/>
          <w:szCs w:val="24"/>
        </w:rPr>
        <w:t>ostateczną</w:t>
      </w:r>
      <w:r w:rsidRPr="00BF4F33">
        <w:rPr>
          <w:rFonts w:cs="Times New Roman"/>
          <w:szCs w:val="24"/>
        </w:rPr>
        <w:t xml:space="preserve"> wysokość można ustalić dopiero po </w:t>
      </w:r>
      <w:r w:rsidRPr="00BF4F33">
        <w:rPr>
          <w:rFonts w:cs="Times New Roman"/>
          <w:szCs w:val="24"/>
        </w:rPr>
        <w:lastRenderedPageBreak/>
        <w:t xml:space="preserve">zakończeniu roku podatkowego, gdy znane są ostateczne wartości przychodów i kosztów za cały okres objęty ustawą. </w:t>
      </w:r>
    </w:p>
    <w:p w14:paraId="320300CD" w14:textId="1BD57D25" w:rsidR="00CE2835" w:rsidRPr="00BF4F33" w:rsidRDefault="00CE2835" w:rsidP="00BA1951">
      <w:pPr>
        <w:widowControl/>
        <w:spacing w:before="120"/>
        <w:jc w:val="both"/>
        <w:rPr>
          <w:rFonts w:cs="Times New Roman"/>
          <w:szCs w:val="24"/>
        </w:rPr>
      </w:pPr>
      <w:r w:rsidRPr="00BF4F33">
        <w:rPr>
          <w:rFonts w:eastAsia="Times New Roman" w:cs="Times New Roman"/>
          <w:szCs w:val="24"/>
        </w:rPr>
        <w:t xml:space="preserve">Terminy wpłaty zaliczek konkretyzuje ustęp 2: do 25. dnia miesiąca za miesiąc poprzedni. </w:t>
      </w:r>
      <w:r w:rsidR="00792F77" w:rsidRPr="00BF4F33">
        <w:rPr>
          <w:rFonts w:cs="Times New Roman"/>
          <w:szCs w:val="24"/>
        </w:rPr>
        <w:t>Przepis ten ustanawia jednak również regułę szczególną dotyczącą pierwszej zaliczki.</w:t>
      </w:r>
      <w:r w:rsidR="00747B13">
        <w:rPr>
          <w:rFonts w:cs="Times New Roman"/>
          <w:szCs w:val="24"/>
        </w:rPr>
        <w:t xml:space="preserve"> </w:t>
      </w:r>
      <w:r w:rsidR="00792F77" w:rsidRPr="00BF4F33">
        <w:rPr>
          <w:rFonts w:eastAsia="Times New Roman" w:cs="Times New Roman"/>
          <w:szCs w:val="24"/>
        </w:rPr>
        <w:t>Z</w:t>
      </w:r>
      <w:r w:rsidRPr="00BF4F33">
        <w:rPr>
          <w:rFonts w:eastAsia="Times New Roman" w:cs="Times New Roman"/>
          <w:szCs w:val="24"/>
        </w:rPr>
        <w:t>aliczka</w:t>
      </w:r>
      <w:r w:rsidR="00792F77" w:rsidRPr="00BF4F33">
        <w:rPr>
          <w:rFonts w:eastAsia="Times New Roman" w:cs="Times New Roman"/>
          <w:szCs w:val="24"/>
        </w:rPr>
        <w:t xml:space="preserve"> ta</w:t>
      </w:r>
      <w:r w:rsidRPr="00BF4F33">
        <w:rPr>
          <w:rFonts w:eastAsia="Times New Roman" w:cs="Times New Roman"/>
          <w:szCs w:val="24"/>
        </w:rPr>
        <w:t xml:space="preserve"> – obejmująca narastająco cały okres od dnia 1 marca 2026 r. do dnia 31 </w:t>
      </w:r>
      <w:r w:rsidR="00BA388A" w:rsidRPr="00BF4F33">
        <w:rPr>
          <w:rFonts w:eastAsia="Times New Roman" w:cs="Times New Roman"/>
          <w:szCs w:val="24"/>
        </w:rPr>
        <w:t xml:space="preserve">października </w:t>
      </w:r>
      <w:r w:rsidRPr="00BF4F33">
        <w:rPr>
          <w:rFonts w:eastAsia="Times New Roman" w:cs="Times New Roman"/>
          <w:szCs w:val="24"/>
        </w:rPr>
        <w:t xml:space="preserve">2026 r. </w:t>
      </w:r>
    </w:p>
    <w:p w14:paraId="66258BB1" w14:textId="1E946804" w:rsidR="00646BDB" w:rsidRPr="00BF4F33" w:rsidRDefault="00CE2835" w:rsidP="00BA1951">
      <w:pPr>
        <w:widowControl/>
        <w:spacing w:before="120"/>
        <w:jc w:val="both"/>
        <w:rPr>
          <w:rFonts w:cs="Times New Roman"/>
          <w:szCs w:val="24"/>
        </w:rPr>
      </w:pPr>
      <w:r w:rsidRPr="00BF4F33">
        <w:rPr>
          <w:rFonts w:cs="Times New Roman"/>
          <w:szCs w:val="24"/>
        </w:rPr>
        <w:t>Ust. 1 pkt 2 ustanawia obowiązek złożenia</w:t>
      </w:r>
      <w:r w:rsidR="00675006" w:rsidRPr="00BF4F33">
        <w:rPr>
          <w:rFonts w:cs="Times New Roman"/>
          <w:szCs w:val="24"/>
        </w:rPr>
        <w:t xml:space="preserve"> zeznania o wysokości podatku od nadzwyczajnych zysków do dnia 30 kwietnia 2027 r.</w:t>
      </w:r>
      <w:r w:rsidR="00143F2D" w:rsidRPr="00BF4F33">
        <w:rPr>
          <w:rFonts w:cs="Times New Roman"/>
          <w:szCs w:val="24"/>
        </w:rPr>
        <w:t xml:space="preserve"> Zeznanie będzie składane wyłącznie elektronicznie w sposób określony w przepisach</w:t>
      </w:r>
      <w:r w:rsidR="00B8700F" w:rsidRPr="00BF4F33">
        <w:rPr>
          <w:rFonts w:cs="Times New Roman"/>
          <w:szCs w:val="24"/>
        </w:rPr>
        <w:t xml:space="preserve"> odrębnych, a więc przepisach</w:t>
      </w:r>
      <w:r w:rsidR="00143F2D" w:rsidRPr="00BF4F33">
        <w:rPr>
          <w:rFonts w:cs="Times New Roman"/>
          <w:szCs w:val="24"/>
        </w:rPr>
        <w:t xml:space="preserve"> wykonawczych wydanych na podstawie art. 3b Ordynacji podatkowej</w:t>
      </w:r>
      <w:r w:rsidR="00B8700F" w:rsidRPr="00BF4F33">
        <w:rPr>
          <w:rFonts w:cs="Times New Roman"/>
          <w:szCs w:val="24"/>
        </w:rPr>
        <w:t xml:space="preserve"> oraz przepisach ustawy </w:t>
      </w:r>
      <w:r w:rsidR="00E74082" w:rsidRPr="00BF4F33">
        <w:rPr>
          <w:rFonts w:cs="Times New Roman"/>
          <w:szCs w:val="24"/>
        </w:rPr>
        <w:t xml:space="preserve">z 16 listopada 2016 r. </w:t>
      </w:r>
      <w:r w:rsidR="00B8700F" w:rsidRPr="00BF4F33">
        <w:rPr>
          <w:rFonts w:cs="Times New Roman"/>
          <w:szCs w:val="24"/>
        </w:rPr>
        <w:t xml:space="preserve">o Krajowej Administracji Skarbowej </w:t>
      </w:r>
      <w:r w:rsidR="00143F2D" w:rsidRPr="00BF4F33">
        <w:rPr>
          <w:rFonts w:cs="Times New Roman"/>
          <w:szCs w:val="24"/>
        </w:rPr>
        <w:t>.</w:t>
      </w:r>
      <w:r w:rsidR="00E74082" w:rsidRPr="00BF4F33">
        <w:rPr>
          <w:rFonts w:cs="Times New Roman"/>
          <w:szCs w:val="24"/>
        </w:rPr>
        <w:t>regulujących e-Urząd Skarbowy.</w:t>
      </w:r>
    </w:p>
    <w:p w14:paraId="47132667" w14:textId="29696E39" w:rsidR="00675006" w:rsidRPr="00BF4F33" w:rsidRDefault="00E74082" w:rsidP="00BA1951">
      <w:pPr>
        <w:widowControl/>
        <w:spacing w:before="120"/>
        <w:jc w:val="both"/>
        <w:rPr>
          <w:rFonts w:cs="Times New Roman"/>
          <w:szCs w:val="24"/>
        </w:rPr>
      </w:pPr>
      <w:r w:rsidRPr="00BF4F33">
        <w:rPr>
          <w:rFonts w:cs="Times New Roman"/>
          <w:szCs w:val="24"/>
        </w:rPr>
        <w:t>U</w:t>
      </w:r>
      <w:r w:rsidR="00646BDB" w:rsidRPr="00BF4F33">
        <w:rPr>
          <w:rFonts w:cs="Times New Roman"/>
          <w:szCs w:val="24"/>
        </w:rPr>
        <w:t xml:space="preserve">st. 1 pkt 3 </w:t>
      </w:r>
      <w:r w:rsidR="00143F2D" w:rsidRPr="00BF4F33">
        <w:rPr>
          <w:rFonts w:cs="Times New Roman"/>
          <w:szCs w:val="24"/>
        </w:rPr>
        <w:t>wprowadza obowiązek</w:t>
      </w:r>
      <w:r w:rsidR="00675006" w:rsidRPr="00BF4F33">
        <w:rPr>
          <w:rFonts w:cs="Times New Roman"/>
          <w:szCs w:val="24"/>
        </w:rPr>
        <w:t xml:space="preserve"> obliczeni</w:t>
      </w:r>
      <w:r w:rsidR="00646BDB" w:rsidRPr="00BF4F33">
        <w:rPr>
          <w:rFonts w:cs="Times New Roman"/>
          <w:szCs w:val="24"/>
        </w:rPr>
        <w:t>a</w:t>
      </w:r>
      <w:r w:rsidR="00675006" w:rsidRPr="00BF4F33">
        <w:rPr>
          <w:rFonts w:cs="Times New Roman"/>
          <w:szCs w:val="24"/>
        </w:rPr>
        <w:t xml:space="preserve"> i wpła</w:t>
      </w:r>
      <w:r w:rsidR="00646BDB" w:rsidRPr="00BF4F33">
        <w:rPr>
          <w:rFonts w:cs="Times New Roman"/>
          <w:szCs w:val="24"/>
        </w:rPr>
        <w:t>ty</w:t>
      </w:r>
      <w:r w:rsidR="00675006" w:rsidRPr="00BF4F33">
        <w:rPr>
          <w:rFonts w:cs="Times New Roman"/>
          <w:szCs w:val="24"/>
        </w:rPr>
        <w:t xml:space="preserve"> –</w:t>
      </w:r>
      <w:r w:rsidR="00646BDB" w:rsidRPr="00BF4F33">
        <w:rPr>
          <w:rFonts w:cs="Times New Roman"/>
          <w:szCs w:val="24"/>
        </w:rPr>
        <w:t xml:space="preserve"> również do 30 kwietnia 2027 r. </w:t>
      </w:r>
      <w:r w:rsidR="00675006" w:rsidRPr="00BF4F33">
        <w:rPr>
          <w:rFonts w:cs="Times New Roman"/>
          <w:szCs w:val="24"/>
        </w:rPr>
        <w:t>– należnego podatku od nadzwyczajnych zysków albo różnicy między podatkiem należnym a sumą wpłaconych zaliczek. Oparcie poboru podatku na mechanizmie samoobliczenia eliminuje konieczność angażowania organów podatkowych w bieżący wymiar daniny, wpisując się w standardy krajowego prawa podatkowego i gwarantując efektywność poboru.</w:t>
      </w:r>
    </w:p>
    <w:p w14:paraId="0AD80EE0" w14:textId="4A82A315" w:rsidR="00792F77" w:rsidRPr="00BF4F33" w:rsidRDefault="00792F77" w:rsidP="00BA1951">
      <w:pPr>
        <w:widowControl/>
        <w:spacing w:before="120"/>
        <w:jc w:val="both"/>
        <w:rPr>
          <w:rFonts w:cs="Times New Roman"/>
          <w:szCs w:val="24"/>
        </w:rPr>
      </w:pPr>
      <w:r w:rsidRPr="00BF4F33">
        <w:rPr>
          <w:rFonts w:cs="Times New Roman"/>
          <w:szCs w:val="24"/>
        </w:rPr>
        <w:t>Ustęp 3 nakłada na podatnika obowiązek złożenia zeznania w dniu zaprzestania prowadzenia działalności, jeżeli następuje ono przed upływem terminu określonego w ust. 1 pkt 2. Przepis ten gwarantuje ciągłość poboru należności podatkowych w przypadku wcześniejszego zakończenia działalności objętej ustawą.</w:t>
      </w:r>
    </w:p>
    <w:p w14:paraId="7EEEDC82" w14:textId="089D36FA" w:rsidR="00792F77" w:rsidRPr="00BF4F33" w:rsidRDefault="00792F77" w:rsidP="00BA1951">
      <w:pPr>
        <w:widowControl/>
        <w:spacing w:before="120"/>
        <w:jc w:val="both"/>
        <w:rPr>
          <w:rFonts w:cs="Times New Roman"/>
          <w:szCs w:val="24"/>
        </w:rPr>
      </w:pPr>
      <w:r w:rsidRPr="00BF4F33">
        <w:rPr>
          <w:rFonts w:cs="Times New Roman"/>
          <w:szCs w:val="24"/>
        </w:rPr>
        <w:t>Ustępy 4–6 regulują zasady zwrotu nadpłaty. Nadpłata powstaje z dniem złożenia zeznania i</w:t>
      </w:r>
      <w:r w:rsidR="00C431FD" w:rsidRPr="00BF4F33">
        <w:rPr>
          <w:rFonts w:cs="Times New Roman"/>
          <w:szCs w:val="24"/>
        </w:rPr>
        <w:t> </w:t>
      </w:r>
      <w:r w:rsidRPr="00BF4F33">
        <w:rPr>
          <w:rFonts w:cs="Times New Roman"/>
          <w:szCs w:val="24"/>
        </w:rPr>
        <w:t>podlega zwrotowi w terminie 3 miesięcy od dnia jego złożenia, a w przypadku wniosku o</w:t>
      </w:r>
      <w:r w:rsidR="00C431FD" w:rsidRPr="00BF4F33">
        <w:rPr>
          <w:rFonts w:cs="Times New Roman"/>
          <w:szCs w:val="24"/>
        </w:rPr>
        <w:t> </w:t>
      </w:r>
      <w:r w:rsidRPr="00BF4F33">
        <w:rPr>
          <w:rFonts w:cs="Times New Roman"/>
          <w:szCs w:val="24"/>
        </w:rPr>
        <w:t>stwierdzenie nadpłaty ze skorygowanym zeznaniem – w terminie 2 miesięcy od dnia złożenia wniosku (nie wcześniej jednak niż w terminie 3 miesięcy od złożenia pierwotnego zeznania). Oprocentowanie nadpłaty przysługuje od dnia jej powstania, jeżeli nie została zwrócona w terminie 3 miesięcy od dnia złożenia zeznania lub od dnia skorygowania zeznania. Zaliczenie nadpłaty na poczet zaległości podatkowych następuje z dniem jej powstania</w:t>
      </w:r>
    </w:p>
    <w:bookmarkEnd w:id="0"/>
    <w:p w14:paraId="5882D78D" w14:textId="5B45D26E" w:rsidR="001A6200" w:rsidRPr="00BF4F33" w:rsidRDefault="00AA3CF6" w:rsidP="00BA1951">
      <w:pPr>
        <w:widowControl/>
        <w:spacing w:before="120"/>
        <w:jc w:val="both"/>
        <w:rPr>
          <w:rFonts w:cs="Times New Roman"/>
          <w:szCs w:val="24"/>
        </w:rPr>
      </w:pPr>
      <w:r w:rsidRPr="00BF4F33">
        <w:rPr>
          <w:rFonts w:cs="Times New Roman"/>
          <w:b/>
          <w:bCs/>
          <w:szCs w:val="24"/>
        </w:rPr>
        <w:t xml:space="preserve">Art. </w:t>
      </w:r>
      <w:r w:rsidR="00792F77" w:rsidRPr="00BF4F33">
        <w:rPr>
          <w:rFonts w:cs="Times New Roman"/>
          <w:b/>
          <w:bCs/>
          <w:szCs w:val="24"/>
        </w:rPr>
        <w:t>10</w:t>
      </w:r>
      <w:r w:rsidR="00AA36B2" w:rsidRPr="00BF4F33">
        <w:rPr>
          <w:rFonts w:cs="Times New Roman"/>
          <w:b/>
          <w:bCs/>
          <w:szCs w:val="24"/>
        </w:rPr>
        <w:t>.</w:t>
      </w:r>
      <w:r w:rsidR="001A6200" w:rsidRPr="00BF4F33">
        <w:rPr>
          <w:rFonts w:cs="Times New Roman"/>
          <w:szCs w:val="24"/>
        </w:rPr>
        <w:t xml:space="preserve"> –</w:t>
      </w:r>
      <w:r w:rsidR="00143F2D" w:rsidRPr="00BF4F33">
        <w:rPr>
          <w:rFonts w:cs="Times New Roman"/>
          <w:szCs w:val="24"/>
        </w:rPr>
        <w:t xml:space="preserve"> </w:t>
      </w:r>
      <w:r w:rsidR="001A6200" w:rsidRPr="00BF4F33">
        <w:rPr>
          <w:rFonts w:cs="Times New Roman"/>
          <w:szCs w:val="24"/>
        </w:rPr>
        <w:t xml:space="preserve">reguluje formalnoprawną stronę rocznego rozliczenia podatku od nadzwyczajnych zysków.  </w:t>
      </w:r>
    </w:p>
    <w:p w14:paraId="27F75ED1" w14:textId="79EBFB85" w:rsidR="00D25920" w:rsidRPr="00BF4F33" w:rsidRDefault="001A6200" w:rsidP="00BA1951">
      <w:pPr>
        <w:widowControl/>
        <w:spacing w:before="120"/>
        <w:jc w:val="both"/>
        <w:rPr>
          <w:rFonts w:cs="Times New Roman"/>
          <w:szCs w:val="24"/>
        </w:rPr>
      </w:pPr>
      <w:r w:rsidRPr="00BF4F33">
        <w:rPr>
          <w:rFonts w:cs="Times New Roman"/>
          <w:szCs w:val="24"/>
        </w:rPr>
        <w:t xml:space="preserve">Ustęp 1 określa </w:t>
      </w:r>
      <w:r w:rsidR="00E74082" w:rsidRPr="00BF4F33">
        <w:rPr>
          <w:rFonts w:cs="Times New Roman"/>
          <w:szCs w:val="24"/>
        </w:rPr>
        <w:t>zakres danych przekazywanych w zeznaniu</w:t>
      </w:r>
      <w:r w:rsidRPr="00BF4F33">
        <w:rPr>
          <w:rFonts w:cs="Times New Roman"/>
          <w:szCs w:val="24"/>
        </w:rPr>
        <w:t xml:space="preserve"> </w:t>
      </w:r>
      <w:r w:rsidR="00E74082" w:rsidRPr="00BF4F33">
        <w:rPr>
          <w:rFonts w:cs="Times New Roman"/>
          <w:szCs w:val="24"/>
        </w:rPr>
        <w:t xml:space="preserve">o wysokości </w:t>
      </w:r>
      <w:r w:rsidR="009E3237" w:rsidRPr="00BF4F33">
        <w:rPr>
          <w:rFonts w:cs="Times New Roman"/>
          <w:szCs w:val="24"/>
        </w:rPr>
        <w:t>podatku od</w:t>
      </w:r>
      <w:r w:rsidRPr="00BF4F33">
        <w:rPr>
          <w:rFonts w:cs="Times New Roman"/>
          <w:szCs w:val="24"/>
        </w:rPr>
        <w:t xml:space="preserve"> nadzwyczajnych zysków</w:t>
      </w:r>
      <w:r w:rsidR="00E74082" w:rsidRPr="00BF4F33">
        <w:rPr>
          <w:rFonts w:cs="Times New Roman"/>
          <w:szCs w:val="24"/>
        </w:rPr>
        <w:t>, tj.</w:t>
      </w:r>
      <w:r w:rsidRPr="00BF4F33">
        <w:rPr>
          <w:rFonts w:cs="Times New Roman"/>
          <w:szCs w:val="24"/>
        </w:rPr>
        <w:t xml:space="preserve"> dane identyfikacyjne podatnika oraz dane niezbędne do obliczenia i zapłaty podatku. Tak sformułowany wymóg zapewnia organom podatkowym możliwość weryfikacji prawidłowości samoobliczenia bez nakładania na podatnika obciążeń </w:t>
      </w:r>
      <w:r w:rsidRPr="00BF4F33">
        <w:rPr>
          <w:rFonts w:cs="Times New Roman"/>
          <w:szCs w:val="24"/>
        </w:rPr>
        <w:lastRenderedPageBreak/>
        <w:t>dokumentacyjnych wykraczających poza zakres niezbędny dla celów kontrolnych. Ustęp 2 zawiera natomiast delegację ustawową dla ministra właściwego do spraw finansów publicznych do określenia, w drodze rozporządzenia, szczegółowego zakresu danych zeznania wraz z niezbędnymi pouczeniami.</w:t>
      </w:r>
    </w:p>
    <w:p w14:paraId="1078C976" w14:textId="137606F1" w:rsidR="00AA3CF6" w:rsidRPr="00BF4F33" w:rsidRDefault="00AA3CF6" w:rsidP="00BA1951">
      <w:pPr>
        <w:widowControl/>
        <w:spacing w:before="120"/>
        <w:jc w:val="both"/>
        <w:rPr>
          <w:rFonts w:cs="Times New Roman"/>
          <w:szCs w:val="24"/>
        </w:rPr>
      </w:pPr>
      <w:r w:rsidRPr="00BF4F33">
        <w:rPr>
          <w:rFonts w:cs="Times New Roman"/>
          <w:b/>
          <w:bCs/>
          <w:szCs w:val="24"/>
        </w:rPr>
        <w:t xml:space="preserve">Art. </w:t>
      </w:r>
      <w:r w:rsidR="00792F77" w:rsidRPr="00BF4F33">
        <w:rPr>
          <w:rFonts w:cs="Times New Roman"/>
          <w:b/>
          <w:bCs/>
          <w:szCs w:val="24"/>
        </w:rPr>
        <w:t xml:space="preserve">11 </w:t>
      </w:r>
      <w:r w:rsidRPr="00BF4F33">
        <w:rPr>
          <w:rFonts w:cs="Times New Roman"/>
          <w:b/>
          <w:bCs/>
          <w:szCs w:val="24"/>
        </w:rPr>
        <w:t xml:space="preserve">i </w:t>
      </w:r>
      <w:r w:rsidR="00143F2D" w:rsidRPr="00BF4F33">
        <w:rPr>
          <w:rFonts w:cs="Times New Roman"/>
          <w:b/>
          <w:bCs/>
          <w:szCs w:val="24"/>
        </w:rPr>
        <w:t xml:space="preserve">art. </w:t>
      </w:r>
      <w:r w:rsidR="00792F77" w:rsidRPr="00BF4F33">
        <w:rPr>
          <w:rFonts w:cs="Times New Roman"/>
          <w:b/>
          <w:bCs/>
          <w:szCs w:val="24"/>
        </w:rPr>
        <w:t xml:space="preserve">12 </w:t>
      </w:r>
      <w:r w:rsidRPr="00BF4F33">
        <w:rPr>
          <w:rFonts w:cs="Times New Roman"/>
          <w:b/>
          <w:bCs/>
          <w:szCs w:val="24"/>
        </w:rPr>
        <w:t>–</w:t>
      </w:r>
      <w:r w:rsidR="009E3237" w:rsidRPr="00BF4F33">
        <w:rPr>
          <w:rFonts w:cs="Times New Roman"/>
          <w:b/>
          <w:bCs/>
          <w:szCs w:val="24"/>
        </w:rPr>
        <w:t xml:space="preserve"> </w:t>
      </w:r>
      <w:r w:rsidRPr="00BF4F33">
        <w:rPr>
          <w:rFonts w:cs="Times New Roman"/>
          <w:szCs w:val="24"/>
        </w:rPr>
        <w:t>wprowadzają zmiany, odpowiednio, w ustawie o podatku dochodowym od osób fizycznych oraz w ustawie o podatku dochodowym od osób prawnych, wyłączając podatek od nadzwyczajnych zysków z kosztów uzyskania przychodów w obydwu podatkach dochodowych.</w:t>
      </w:r>
      <w:r w:rsidR="006A0D70" w:rsidRPr="00BF4F33">
        <w:rPr>
          <w:rFonts w:cs="Times New Roman"/>
          <w:szCs w:val="24"/>
        </w:rPr>
        <w:t xml:space="preserve"> Celem obu regulacji jest wyeliminowanie sytuacji, w której zapłata podatku od nadzwyczajnych zysków skutkowałaby pomniejszeniem podstawy opodatkowania podatkiem dochodowym, co prowadziłoby do częściowej kompensaty tej daniny i istotnego osłabienia jej skuteczności fiskalnej i redystrybucyjnej</w:t>
      </w:r>
      <w:r w:rsidR="00DA3912" w:rsidRPr="00BF4F33">
        <w:rPr>
          <w:rFonts w:cs="Times New Roman"/>
          <w:szCs w:val="24"/>
        </w:rPr>
        <w:t xml:space="preserve">. </w:t>
      </w:r>
    </w:p>
    <w:p w14:paraId="3A1B7165" w14:textId="188FF1C0" w:rsidR="006A0D70" w:rsidRPr="00BF4F33" w:rsidRDefault="00AA3CF6" w:rsidP="00BA1951">
      <w:pPr>
        <w:widowControl/>
        <w:spacing w:before="120"/>
        <w:jc w:val="both"/>
        <w:rPr>
          <w:rFonts w:cs="Times New Roman"/>
          <w:szCs w:val="24"/>
        </w:rPr>
      </w:pPr>
      <w:r w:rsidRPr="00BF4F33">
        <w:rPr>
          <w:rFonts w:cs="Times New Roman"/>
          <w:b/>
          <w:bCs/>
          <w:szCs w:val="24"/>
        </w:rPr>
        <w:t xml:space="preserve">Art. </w:t>
      </w:r>
      <w:r w:rsidR="00792F77" w:rsidRPr="00BF4F33">
        <w:rPr>
          <w:rFonts w:cs="Times New Roman"/>
          <w:b/>
          <w:bCs/>
          <w:szCs w:val="24"/>
        </w:rPr>
        <w:t>13</w:t>
      </w:r>
      <w:r w:rsidR="00792F77" w:rsidRPr="00BF4F33">
        <w:rPr>
          <w:rFonts w:cs="Times New Roman"/>
          <w:szCs w:val="24"/>
        </w:rPr>
        <w:t xml:space="preserve"> </w:t>
      </w:r>
      <w:r w:rsidRPr="00BF4F33">
        <w:rPr>
          <w:rFonts w:cs="Times New Roman"/>
          <w:szCs w:val="24"/>
        </w:rPr>
        <w:t>–</w:t>
      </w:r>
      <w:r w:rsidR="00143F2D" w:rsidRPr="00BF4F33">
        <w:rPr>
          <w:rFonts w:cs="Times New Roman"/>
          <w:szCs w:val="24"/>
        </w:rPr>
        <w:t xml:space="preserve"> </w:t>
      </w:r>
      <w:r w:rsidR="006A0D70" w:rsidRPr="00BF4F33">
        <w:rPr>
          <w:rFonts w:cs="Times New Roman"/>
          <w:szCs w:val="24"/>
        </w:rPr>
        <w:t xml:space="preserve">określa termin wejścia w życie projektowanej ustawy. Ustawa wejdzie w życie z dniem 1 </w:t>
      </w:r>
      <w:r w:rsidR="00BA388A" w:rsidRPr="00BF4F33">
        <w:rPr>
          <w:rFonts w:cs="Times New Roman"/>
          <w:szCs w:val="24"/>
        </w:rPr>
        <w:t xml:space="preserve">listopada </w:t>
      </w:r>
      <w:r w:rsidR="006A0D70" w:rsidRPr="00BF4F33">
        <w:rPr>
          <w:rFonts w:cs="Times New Roman"/>
          <w:szCs w:val="24"/>
        </w:rPr>
        <w:t>2026 r.</w:t>
      </w:r>
    </w:p>
    <w:p w14:paraId="3A0EA6F1" w14:textId="73A66B9F" w:rsidR="00F43E13" w:rsidRPr="00BF4F33" w:rsidRDefault="00F43E13" w:rsidP="00BA1951">
      <w:pPr>
        <w:widowControl/>
        <w:spacing w:before="120"/>
        <w:rPr>
          <w:rFonts w:eastAsia="Times New Roman" w:cs="Times New Roman"/>
          <w:szCs w:val="24"/>
        </w:rPr>
      </w:pPr>
      <w:r w:rsidRPr="00BF4F33">
        <w:rPr>
          <w:rFonts w:cs="Times New Roman"/>
          <w:b/>
          <w:bCs/>
          <w:szCs w:val="24"/>
        </w:rPr>
        <w:t xml:space="preserve">V. </w:t>
      </w:r>
      <w:r w:rsidR="000C44F3" w:rsidRPr="00BF4F33">
        <w:rPr>
          <w:rFonts w:cs="Times New Roman"/>
          <w:b/>
          <w:bCs/>
          <w:szCs w:val="24"/>
        </w:rPr>
        <w:t>Informacje dodatkowe</w:t>
      </w:r>
    </w:p>
    <w:p w14:paraId="2D969A1B" w14:textId="503FE174" w:rsidR="005A1DF9" w:rsidRPr="00BF4F33" w:rsidRDefault="00F43E13" w:rsidP="00BA1951">
      <w:pPr>
        <w:widowControl/>
        <w:spacing w:before="120"/>
        <w:jc w:val="both"/>
        <w:rPr>
          <w:rFonts w:cs="Times New Roman"/>
          <w:szCs w:val="24"/>
        </w:rPr>
      </w:pPr>
      <w:r w:rsidRPr="00BF4F33">
        <w:rPr>
          <w:rFonts w:cs="Times New Roman"/>
          <w:szCs w:val="24"/>
        </w:rPr>
        <w:t>Projekt ustawy jest zgodny z prawem Unii Europejskiej i nie podlega obowiązkowi przedstawienia właściwym instytucjom Unii Europejskiej, w tym Europejskiemu Bankowi Centralnemu, w celu uzyskania opinii, dokonania powiadomienia, konsultacji albo uzgodnienia.</w:t>
      </w:r>
    </w:p>
    <w:p w14:paraId="3EE17768" w14:textId="13FA9BE7" w:rsidR="00D36F26" w:rsidRPr="00BF4F33" w:rsidRDefault="001A0B6D" w:rsidP="00BA1951">
      <w:pPr>
        <w:widowControl/>
        <w:spacing w:before="120"/>
        <w:jc w:val="both"/>
        <w:rPr>
          <w:rFonts w:cs="Times New Roman"/>
          <w:szCs w:val="24"/>
        </w:rPr>
      </w:pPr>
      <w:r w:rsidRPr="00BF4F33">
        <w:rPr>
          <w:rFonts w:cs="Times New Roman"/>
          <w:szCs w:val="24"/>
        </w:rPr>
        <w:t>U</w:t>
      </w:r>
      <w:r w:rsidR="00D36F26" w:rsidRPr="00BF4F33">
        <w:rPr>
          <w:rFonts w:cs="Times New Roman"/>
          <w:szCs w:val="24"/>
        </w:rPr>
        <w:t xml:space="preserve">stawa </w:t>
      </w:r>
      <w:r w:rsidRPr="00BF4F33">
        <w:rPr>
          <w:rFonts w:cs="Times New Roman"/>
          <w:szCs w:val="24"/>
        </w:rPr>
        <w:t xml:space="preserve">obejmuje swym zakresem także </w:t>
      </w:r>
      <w:r w:rsidR="00D36F26" w:rsidRPr="00BF4F33">
        <w:rPr>
          <w:rFonts w:cs="Times New Roman"/>
          <w:szCs w:val="24"/>
        </w:rPr>
        <w:t>mikro</w:t>
      </w:r>
      <w:r w:rsidR="002A1C0B">
        <w:rPr>
          <w:rFonts w:cs="Times New Roman"/>
          <w:szCs w:val="24"/>
        </w:rPr>
        <w:t>-</w:t>
      </w:r>
      <w:r w:rsidR="00D36F26" w:rsidRPr="00BF4F33">
        <w:rPr>
          <w:rFonts w:cs="Times New Roman"/>
          <w:szCs w:val="24"/>
        </w:rPr>
        <w:t>, małych i</w:t>
      </w:r>
      <w:r w:rsidR="005575DC" w:rsidRPr="00BF4F33">
        <w:rPr>
          <w:rFonts w:cs="Times New Roman"/>
          <w:szCs w:val="24"/>
        </w:rPr>
        <w:t> </w:t>
      </w:r>
      <w:r w:rsidR="00D36F26" w:rsidRPr="00BF4F33">
        <w:rPr>
          <w:rFonts w:cs="Times New Roman"/>
          <w:szCs w:val="24"/>
        </w:rPr>
        <w:t>średnich przedsiębiorców</w:t>
      </w:r>
      <w:r w:rsidRPr="00BF4F33">
        <w:rPr>
          <w:rFonts w:cs="Times New Roman"/>
          <w:szCs w:val="24"/>
        </w:rPr>
        <w:t xml:space="preserve">. Nie nakłada natomiast żadnych obowiązków na </w:t>
      </w:r>
      <w:r w:rsidR="00D36F26" w:rsidRPr="00BF4F33">
        <w:rPr>
          <w:rFonts w:cs="Times New Roman"/>
          <w:szCs w:val="24"/>
        </w:rPr>
        <w:t>obywateli</w:t>
      </w:r>
      <w:r w:rsidRPr="00BF4F33">
        <w:rPr>
          <w:rFonts w:cs="Times New Roman"/>
          <w:szCs w:val="24"/>
        </w:rPr>
        <w:t>,</w:t>
      </w:r>
      <w:r w:rsidR="00D36F26" w:rsidRPr="00BF4F33">
        <w:rPr>
          <w:rFonts w:cs="Times New Roman"/>
          <w:szCs w:val="24"/>
        </w:rPr>
        <w:t xml:space="preserve"> ani</w:t>
      </w:r>
      <w:r w:rsidRPr="00BF4F33">
        <w:rPr>
          <w:rFonts w:cs="Times New Roman"/>
          <w:szCs w:val="24"/>
        </w:rPr>
        <w:t xml:space="preserve"> na</w:t>
      </w:r>
      <w:r w:rsidR="00D36F26" w:rsidRPr="00BF4F33">
        <w:rPr>
          <w:rFonts w:cs="Times New Roman"/>
          <w:szCs w:val="24"/>
        </w:rPr>
        <w:t xml:space="preserve"> gospodarstwa domowe. </w:t>
      </w:r>
    </w:p>
    <w:p w14:paraId="3DB8FAEE" w14:textId="7B83FC0F" w:rsidR="00D36F26" w:rsidRPr="00BF4F33" w:rsidRDefault="00D36F26" w:rsidP="00BA1951">
      <w:pPr>
        <w:widowControl/>
        <w:spacing w:before="120"/>
        <w:jc w:val="both"/>
        <w:rPr>
          <w:rFonts w:cs="Times New Roman"/>
          <w:szCs w:val="24"/>
        </w:rPr>
      </w:pPr>
      <w:r w:rsidRPr="00BF4F33">
        <w:rPr>
          <w:rFonts w:cs="Times New Roman"/>
          <w:szCs w:val="24"/>
        </w:rPr>
        <w:t xml:space="preserve">Wpływy z podatku od nadzwyczajnych zysków zasilą budżet państwa, </w:t>
      </w:r>
      <w:r w:rsidR="00877788" w:rsidRPr="00BF4F33">
        <w:rPr>
          <w:rFonts w:cs="Times New Roman"/>
          <w:szCs w:val="24"/>
        </w:rPr>
        <w:t xml:space="preserve">wspierając </w:t>
      </w:r>
      <w:r w:rsidRPr="00BF4F33">
        <w:rPr>
          <w:rFonts w:cs="Times New Roman"/>
          <w:szCs w:val="24"/>
        </w:rPr>
        <w:t>finansowani</w:t>
      </w:r>
      <w:r w:rsidR="00877788" w:rsidRPr="00BF4F33">
        <w:rPr>
          <w:rFonts w:cs="Times New Roman"/>
          <w:szCs w:val="24"/>
        </w:rPr>
        <w:t>e</w:t>
      </w:r>
      <w:r w:rsidRPr="00BF4F33">
        <w:rPr>
          <w:rFonts w:cs="Times New Roman"/>
          <w:szCs w:val="24"/>
        </w:rPr>
        <w:t xml:space="preserve"> działań osłonowych prowadzonych w odpowiedzi na kryzys energetyczny. Pozwoli to na sfinansowanie wprowadzonych środków łagodzących skutki wzrostu cen paliw. Sektor małych i średnich przedsiębiorstw, szczególnie narażony na wzrost kosztów transportu i energii, odnosi wymierne korzyści z utrzymania tych programów, które w istotny sposób ograniczają presję kosztową w tej grupie podmiotów. Analogicznie, gospodarstwa domowe – zwłaszcza te o niższych dochodach, dla których wydatki na paliwo i energię stanowią znaczącą część budżetu – korzystają na podtrzymaniu osłon cenowych finansowanych ze środków pozyskanych od podmiotów, które na kryzysie bezpośrednio skorzystały.</w:t>
      </w:r>
      <w:r w:rsidR="00E14FC3" w:rsidRPr="00BF4F33">
        <w:rPr>
          <w:rFonts w:cs="Times New Roman"/>
          <w:szCs w:val="24"/>
        </w:rPr>
        <w:t xml:space="preserve"> Powyższe, realizuje, wskazywaną już uprzednio zasadę sprawiedliwości społecznej.  </w:t>
      </w:r>
    </w:p>
    <w:p w14:paraId="4B9EA294" w14:textId="77777777" w:rsidR="00143F2D" w:rsidRPr="00BF4F33" w:rsidRDefault="00E64A1E" w:rsidP="00BA1951">
      <w:pPr>
        <w:widowControl/>
        <w:spacing w:before="120"/>
        <w:jc w:val="both"/>
        <w:rPr>
          <w:rFonts w:cs="Times New Roman"/>
          <w:szCs w:val="24"/>
        </w:rPr>
      </w:pPr>
      <w:r w:rsidRPr="00BF4F33">
        <w:rPr>
          <w:rFonts w:cs="Times New Roman"/>
          <w:szCs w:val="24"/>
        </w:rPr>
        <w:lastRenderedPageBreak/>
        <w:t xml:space="preserve">Projekt ustawy nie podlega procedurze notyfikacji aktów prawnych, określonej w przepisach </w:t>
      </w:r>
      <w:bookmarkStart w:id="1" w:name="_Hlk228971017"/>
      <w:r w:rsidRPr="00BF4F33">
        <w:rPr>
          <w:rFonts w:cs="Times New Roman"/>
          <w:szCs w:val="24"/>
        </w:rPr>
        <w:t xml:space="preserve">rozporządzenia Rady Ministrów z dnia 23 grudnia 2002 r. w sprawie funkcjonowania krajowego systemu notyfikacji norm i aktów prawnych (Dz. U. poz. 2039, z późn. zm.). </w:t>
      </w:r>
      <w:bookmarkEnd w:id="1"/>
    </w:p>
    <w:p w14:paraId="7B17C03B" w14:textId="636C44F7" w:rsidR="00E64A1E" w:rsidRPr="00BF4F33" w:rsidRDefault="00E64A1E" w:rsidP="00BA1951">
      <w:pPr>
        <w:widowControl/>
        <w:spacing w:before="120"/>
        <w:jc w:val="both"/>
        <w:rPr>
          <w:rFonts w:cs="Times New Roman"/>
          <w:szCs w:val="24"/>
        </w:rPr>
      </w:pPr>
      <w:r w:rsidRPr="00BF4F33">
        <w:rPr>
          <w:rFonts w:cs="Times New Roman"/>
          <w:szCs w:val="24"/>
        </w:rPr>
        <w:t>Projekt nie stwarza zagrożeń korupcyjnych.</w:t>
      </w:r>
    </w:p>
    <w:sectPr w:rsidR="00E64A1E" w:rsidRPr="00BF4F33" w:rsidSect="00BF4F3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3DA1" w14:textId="77777777" w:rsidR="00E65439" w:rsidRDefault="00E65439" w:rsidP="006532BE">
      <w:pPr>
        <w:spacing w:line="240" w:lineRule="auto"/>
      </w:pPr>
      <w:r>
        <w:separator/>
      </w:r>
    </w:p>
  </w:endnote>
  <w:endnote w:type="continuationSeparator" w:id="0">
    <w:p w14:paraId="0AC3955D" w14:textId="77777777" w:rsidR="00E65439" w:rsidRDefault="00E65439" w:rsidP="006532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2534894"/>
      <w:docPartObj>
        <w:docPartGallery w:val="Page Numbers (Bottom of Page)"/>
        <w:docPartUnique/>
      </w:docPartObj>
    </w:sdtPr>
    <w:sdtEndPr/>
    <w:sdtContent>
      <w:p w14:paraId="2BFB1C0D" w14:textId="42155250" w:rsidR="00592A67" w:rsidRDefault="00592A67" w:rsidP="00BF4F33">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C3A71" w14:textId="77777777" w:rsidR="00E65439" w:rsidRDefault="00E65439" w:rsidP="006532BE">
      <w:pPr>
        <w:spacing w:line="240" w:lineRule="auto"/>
      </w:pPr>
      <w:r>
        <w:separator/>
      </w:r>
    </w:p>
  </w:footnote>
  <w:footnote w:type="continuationSeparator" w:id="0">
    <w:p w14:paraId="55531CE9" w14:textId="77777777" w:rsidR="00E65439" w:rsidRDefault="00E65439" w:rsidP="006532BE">
      <w:pPr>
        <w:spacing w:line="240" w:lineRule="auto"/>
      </w:pPr>
      <w:r>
        <w:continuationSeparator/>
      </w:r>
    </w:p>
  </w:footnote>
  <w:footnote w:id="1">
    <w:p w14:paraId="24EFC044" w14:textId="32F77E3F" w:rsidR="00034055" w:rsidRDefault="00034055" w:rsidP="00BF4F33">
      <w:pPr>
        <w:pStyle w:val="Tekstprzypisudolnego"/>
        <w:ind w:left="284" w:hanging="284"/>
        <w:jc w:val="both"/>
      </w:pPr>
      <w:r>
        <w:rPr>
          <w:rStyle w:val="Odwoanieprzypisudolnego"/>
        </w:rPr>
        <w:footnoteRef/>
      </w:r>
      <w:r w:rsidR="00BF4F33">
        <w:rPr>
          <w:vertAlign w:val="superscript"/>
        </w:rPr>
        <w:t>)</w:t>
      </w:r>
      <w:r>
        <w:t xml:space="preserve"> </w:t>
      </w:r>
      <w:r w:rsidR="00BF4F33">
        <w:tab/>
      </w:r>
      <w:r w:rsidRPr="00BF4F33">
        <w:t>https://www.orlen.pl/pl/relacje-inwestorskie/raporty-i-publikacje/sprawozdania/2026</w:t>
      </w:r>
      <w:r>
        <w:t xml:space="preserve"> </w:t>
      </w:r>
    </w:p>
  </w:footnote>
  <w:footnote w:id="2">
    <w:p w14:paraId="1CAFC719" w14:textId="43085D7E" w:rsidR="00034055" w:rsidRDefault="00034055" w:rsidP="00BF4F33">
      <w:pPr>
        <w:pStyle w:val="Tekstprzypisudolnego"/>
        <w:ind w:left="284" w:hanging="284"/>
        <w:jc w:val="both"/>
      </w:pPr>
      <w:r>
        <w:rPr>
          <w:rStyle w:val="Odwoanieprzypisudolnego"/>
        </w:rPr>
        <w:footnoteRef/>
      </w:r>
      <w:r w:rsidR="00BF4F33">
        <w:rPr>
          <w:vertAlign w:val="superscript"/>
        </w:rPr>
        <w:t>)</w:t>
      </w:r>
      <w:r w:rsidR="00BF4F33">
        <w:rPr>
          <w:vertAlign w:val="superscript"/>
        </w:rPr>
        <w:tab/>
      </w:r>
      <w:r>
        <w:t xml:space="preserve">Raport „Skonsolidowane wyniki finansowe Grupy Orlen. 2 kwartał 2026” opublikowane 6 sierpnia 2026 r. </w:t>
      </w:r>
    </w:p>
    <w:p w14:paraId="1E75CE1F" w14:textId="60AC4235" w:rsidR="00034055" w:rsidRDefault="00034055" w:rsidP="00BF4F33">
      <w:pPr>
        <w:pStyle w:val="Tekstprzypisudolnego"/>
        <w:ind w:left="284"/>
        <w:jc w:val="both"/>
      </w:pPr>
      <w:r w:rsidRPr="00BF4F33">
        <w:t>https://www.orlen.pl/content/dam/internet/orlen/pl/pl/relacje-inwestorskie/raporty-i-publikacje/sprawozdania/2026/2q2026/ORLEN_2Q26_PL.pdf.coredownload.pdf</w:t>
      </w:r>
      <w:r>
        <w:t xml:space="preserve"> </w:t>
      </w:r>
    </w:p>
  </w:footnote>
  <w:footnote w:id="3">
    <w:p w14:paraId="3DCF5642" w14:textId="4E70B99C" w:rsidR="00034055" w:rsidRDefault="00034055" w:rsidP="00BF4F33">
      <w:pPr>
        <w:pStyle w:val="Tekstprzypisudolnego"/>
        <w:ind w:left="284" w:hanging="284"/>
        <w:jc w:val="both"/>
        <w:rPr>
          <w:rFonts w:cs="Times New Roman"/>
        </w:rPr>
      </w:pPr>
      <w:r>
        <w:rPr>
          <w:rStyle w:val="Odwoanieprzypisudolnego"/>
          <w:rFonts w:cs="Times New Roman"/>
        </w:rPr>
        <w:footnoteRef/>
      </w:r>
      <w:r w:rsidR="00BF4F33">
        <w:rPr>
          <w:rFonts w:cs="Times New Roman"/>
          <w:vertAlign w:val="superscript"/>
        </w:rPr>
        <w:t>)</w:t>
      </w:r>
      <w:r w:rsidR="00BF4F33">
        <w:rPr>
          <w:rFonts w:cs="Times New Roman"/>
          <w:vertAlign w:val="superscript"/>
        </w:rPr>
        <w:tab/>
      </w:r>
      <w:r w:rsidRPr="00BF4F33">
        <w:rPr>
          <w:rFonts w:cs="Times New Roman"/>
        </w:rPr>
        <w:t>https://www.unimot.pl/aktualnosci/unimot-s-a-opublikowal-szacunkowe-wyniki-za-ii-kwartal-2026-r</w:t>
      </w:r>
    </w:p>
  </w:footnote>
  <w:footnote w:id="4">
    <w:p w14:paraId="562CE5A3" w14:textId="0B5EC9B6" w:rsidR="00034055" w:rsidRDefault="00034055" w:rsidP="00BF4F33">
      <w:pPr>
        <w:pStyle w:val="Tekstprzypisudolnego"/>
        <w:ind w:left="284" w:hanging="284"/>
        <w:jc w:val="both"/>
        <w:rPr>
          <w:rFonts w:cs="Times New Roman"/>
        </w:rPr>
      </w:pPr>
      <w:r>
        <w:rPr>
          <w:rStyle w:val="Odwoanieprzypisudolnego"/>
          <w:rFonts w:cs="Times New Roman"/>
        </w:rPr>
        <w:footnoteRef/>
      </w:r>
      <w:r w:rsidR="00BF4F33">
        <w:rPr>
          <w:rFonts w:cs="Times New Roman"/>
          <w:vertAlign w:val="superscript"/>
        </w:rPr>
        <w:t>)</w:t>
      </w:r>
      <w:r w:rsidR="00BF4F33">
        <w:rPr>
          <w:rFonts w:cs="Times New Roman"/>
          <w:vertAlign w:val="superscript"/>
        </w:rPr>
        <w:tab/>
      </w:r>
      <w:r w:rsidRPr="00BF4F33">
        <w:rPr>
          <w:rFonts w:cs="Times New Roman"/>
        </w:rPr>
        <w:t>https://gulfnews.com/business/energy/oil-majors-reap-93-billion-q2-profits-as-iran-war-drives-energy-windfall-1.500643200</w:t>
      </w:r>
      <w:r>
        <w:rPr>
          <w:rFonts w:cs="Times New Roman"/>
        </w:rPr>
        <w:t xml:space="preserve"> </w:t>
      </w:r>
    </w:p>
  </w:footnote>
  <w:footnote w:id="5">
    <w:p w14:paraId="5959F756" w14:textId="558D6E63" w:rsidR="00D72DC6" w:rsidRDefault="00D72DC6" w:rsidP="00BF4F33">
      <w:pPr>
        <w:pStyle w:val="Tekstprzypisudolnego"/>
        <w:ind w:left="284" w:hanging="284"/>
        <w:jc w:val="both"/>
      </w:pPr>
      <w:r>
        <w:rPr>
          <w:rStyle w:val="Odwoanieprzypisudolnego"/>
        </w:rPr>
        <w:footnoteRef/>
      </w:r>
      <w:r w:rsidR="00BF4F33">
        <w:rPr>
          <w:vertAlign w:val="superscript"/>
        </w:rPr>
        <w:t>)</w:t>
      </w:r>
      <w:r w:rsidR="00BF4F33">
        <w:rPr>
          <w:vertAlign w:val="superscript"/>
        </w:rPr>
        <w:tab/>
      </w:r>
      <w:r w:rsidR="00BF4F33">
        <w:t>W</w:t>
      </w:r>
      <w:r w:rsidRPr="00B56482">
        <w:t>yrok Trybunału Konstytucyjnego z dnia 19 listopada 2008 r., sygn. akt Kp 2/08</w:t>
      </w:r>
      <w:r w:rsidR="00BF4F33">
        <w:t>.</w:t>
      </w:r>
    </w:p>
  </w:footnote>
  <w:footnote w:id="6">
    <w:p w14:paraId="5B11C26A" w14:textId="2DD0A834" w:rsidR="001A3BD9" w:rsidRPr="001A3BD9" w:rsidRDefault="001A3BD9" w:rsidP="00BF4F33">
      <w:pPr>
        <w:pStyle w:val="Tekstprzypisudolnego"/>
        <w:ind w:left="284" w:hanging="284"/>
        <w:jc w:val="both"/>
        <w:rPr>
          <w:rFonts w:eastAsia="Times New Roman" w:cs="Times New Roman"/>
        </w:rPr>
      </w:pPr>
      <w:r>
        <w:rPr>
          <w:rStyle w:val="Odwoanieprzypisudolnego"/>
        </w:rPr>
        <w:footnoteRef/>
      </w:r>
      <w:r w:rsidR="00BF4F33">
        <w:rPr>
          <w:vertAlign w:val="superscript"/>
        </w:rPr>
        <w:t>)</w:t>
      </w:r>
      <w:r w:rsidR="00BF4F33">
        <w:rPr>
          <w:vertAlign w:val="superscript"/>
        </w:rPr>
        <w:tab/>
      </w:r>
      <w:r w:rsidR="00BF4F33">
        <w:t>W</w:t>
      </w:r>
      <w:r>
        <w:t xml:space="preserve"> przeciwieństwie do prawa karnego (materialnego), gdzie </w:t>
      </w:r>
      <w:r w:rsidRPr="00D72DC6">
        <w:rPr>
          <w:rFonts w:eastAsia="Times New Roman" w:cs="Times New Roman"/>
        </w:rPr>
        <w:t>zasada lex retro non agit ma charakter bezwzględny i nie doznaje żadnych wyjątków</w:t>
      </w:r>
      <w:r>
        <w:rPr>
          <w:rFonts w:eastAsia="Times New Roman" w:cs="Times New Roman"/>
        </w:rPr>
        <w:t>.</w:t>
      </w:r>
    </w:p>
  </w:footnote>
  <w:footnote w:id="7">
    <w:p w14:paraId="11904485" w14:textId="38D19D5F" w:rsidR="00D24AAB" w:rsidRDefault="00D24AAB" w:rsidP="00BF4F33">
      <w:pPr>
        <w:pStyle w:val="Tekstprzypisudolnego"/>
        <w:ind w:left="284" w:hanging="284"/>
        <w:jc w:val="both"/>
      </w:pPr>
      <w:r>
        <w:rPr>
          <w:rStyle w:val="Odwoanieprzypisudolnego"/>
        </w:rPr>
        <w:footnoteRef/>
      </w:r>
      <w:r w:rsidR="00BF4F33">
        <w:rPr>
          <w:vertAlign w:val="superscript"/>
        </w:rPr>
        <w:t>)</w:t>
      </w:r>
      <w:r w:rsidR="00BF4F33">
        <w:rPr>
          <w:vertAlign w:val="superscript"/>
        </w:rPr>
        <w:tab/>
      </w:r>
      <w:r w:rsidR="00BF4F33">
        <w:t>W</w:t>
      </w:r>
      <w:r>
        <w:t>yrok Trybunały Konstytucyjnego z dnia 12 kwietnia 2000 r., sygn. akt K8/98.</w:t>
      </w:r>
    </w:p>
  </w:footnote>
  <w:footnote w:id="8">
    <w:p w14:paraId="6DC6535B" w14:textId="5C8F0E1E" w:rsidR="006A292C" w:rsidRDefault="006A292C" w:rsidP="00BF4F33">
      <w:pPr>
        <w:pStyle w:val="Tekstprzypisudolnego"/>
        <w:ind w:left="284" w:hanging="284"/>
      </w:pPr>
      <w:r>
        <w:rPr>
          <w:rStyle w:val="Odwoanieprzypisudolnego"/>
        </w:rPr>
        <w:footnoteRef/>
      </w:r>
      <w:r w:rsidR="00BF4F33">
        <w:rPr>
          <w:vertAlign w:val="superscript"/>
        </w:rPr>
        <w:t>)</w:t>
      </w:r>
      <w:r w:rsidR="00BF4F33">
        <w:rPr>
          <w:vertAlign w:val="superscript"/>
        </w:rPr>
        <w:tab/>
      </w:r>
      <w:r w:rsidR="00BF4F33">
        <w:rPr>
          <w:rFonts w:eastAsia="Times New Roman" w:cs="Times New Roman"/>
        </w:rPr>
        <w:t>W</w:t>
      </w:r>
      <w:r w:rsidRPr="00EC1F83">
        <w:rPr>
          <w:rFonts w:eastAsia="Times New Roman" w:cs="Times New Roman"/>
        </w:rPr>
        <w:t>yroki z: 31 stycznia 2000 r., sygn. P. 4/99, OTK ZU nr 1/2001, poz. 5; 24 czerwca 2008 r., sygn. SK 16/06, OTK ZU nr 5/A/2008, poz. 85</w:t>
      </w:r>
      <w:r>
        <w:rPr>
          <w:rFonts w:eastAsia="Times New Roman" w:cs="Times New Roman"/>
        </w:rPr>
        <w:t xml:space="preserve">. </w:t>
      </w:r>
    </w:p>
  </w:footnote>
  <w:footnote w:id="9">
    <w:p w14:paraId="1029602A" w14:textId="771D6F1C" w:rsidR="006A292C" w:rsidRDefault="006A292C" w:rsidP="00BF4F33">
      <w:pPr>
        <w:pStyle w:val="Tekstprzypisudolnego"/>
        <w:ind w:left="284" w:hanging="284"/>
      </w:pPr>
      <w:r>
        <w:rPr>
          <w:rStyle w:val="Odwoanieprzypisudolnego"/>
        </w:rPr>
        <w:footnoteRef/>
      </w:r>
      <w:r w:rsidR="00BF4F33">
        <w:rPr>
          <w:vertAlign w:val="superscript"/>
        </w:rPr>
        <w:t>)</w:t>
      </w:r>
      <w:r w:rsidR="00BF4F33">
        <w:rPr>
          <w:vertAlign w:val="superscript"/>
        </w:rPr>
        <w:tab/>
      </w:r>
      <w:r w:rsidR="00BF4F33">
        <w:rPr>
          <w:rFonts w:eastAsia="Times New Roman" w:cs="Times New Roman"/>
        </w:rPr>
        <w:t>W</w:t>
      </w:r>
      <w:r w:rsidRPr="00EC1F83">
        <w:rPr>
          <w:rFonts w:eastAsia="Times New Roman" w:cs="Times New Roman"/>
        </w:rPr>
        <w:t>yrok z 19 marca 2007 r., sygn. K 47/05, OTK ZU nr 3/A/2007, poz. 27</w:t>
      </w:r>
      <w:r w:rsidR="00BF4F33">
        <w:rPr>
          <w:rFonts w:eastAsia="Times New Roman" w:cs="Times New Roman"/>
        </w:rPr>
        <w:t>.</w:t>
      </w:r>
    </w:p>
  </w:footnote>
  <w:footnote w:id="10">
    <w:p w14:paraId="4BD26C2D" w14:textId="3F3C79B0" w:rsidR="00E67B0F" w:rsidRDefault="00E67B0F" w:rsidP="00BF4F33">
      <w:pPr>
        <w:pStyle w:val="Tekstprzypisudolnego"/>
        <w:ind w:left="284" w:hanging="284"/>
        <w:jc w:val="both"/>
      </w:pPr>
      <w:r>
        <w:rPr>
          <w:rStyle w:val="Odwoanieprzypisudolnego"/>
        </w:rPr>
        <w:footnoteRef/>
      </w:r>
      <w:r w:rsidR="00BF4F33">
        <w:rPr>
          <w:vertAlign w:val="superscript"/>
        </w:rPr>
        <w:t>)</w:t>
      </w:r>
      <w:r w:rsidR="00BF4F33">
        <w:rPr>
          <w:vertAlign w:val="superscript"/>
        </w:rPr>
        <w:tab/>
      </w:r>
      <w:r w:rsidR="00BF4F33">
        <w:rPr>
          <w:color w:val="000000"/>
        </w:rPr>
        <w:t>R</w:t>
      </w:r>
      <w:r w:rsidRPr="00C03110">
        <w:rPr>
          <w:color w:val="000000"/>
        </w:rPr>
        <w:t>ozporządzeni</w:t>
      </w:r>
      <w:r>
        <w:rPr>
          <w:color w:val="000000"/>
        </w:rPr>
        <w:t>e</w:t>
      </w:r>
      <w:r w:rsidRPr="00C03110">
        <w:rPr>
          <w:color w:val="000000"/>
        </w:rPr>
        <w:t xml:space="preserve"> Rady (UE) 2022/1854 z dnia 6 października 2022 r</w:t>
      </w:r>
      <w:r w:rsidRPr="00C03110">
        <w:rPr>
          <w:i/>
          <w:iCs/>
          <w:color w:val="000000"/>
        </w:rPr>
        <w:t>. w sprawie interwencji w sytuacji nadzwyczajnej w celu rozwiązania problemu wysokich cen energii (Dz.U.UE.L.2022.261I.1)</w:t>
      </w:r>
      <w:r w:rsidR="00BF4F33">
        <w:rPr>
          <w:i/>
          <w:iCs/>
          <w:color w:val="00000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D1B07"/>
    <w:multiLevelType w:val="hybridMultilevel"/>
    <w:tmpl w:val="68087D8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42F04A5"/>
    <w:multiLevelType w:val="hybridMultilevel"/>
    <w:tmpl w:val="B3622D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F7E66F6"/>
    <w:multiLevelType w:val="hybridMultilevel"/>
    <w:tmpl w:val="B3622D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D0070C6"/>
    <w:multiLevelType w:val="hybridMultilevel"/>
    <w:tmpl w:val="32BA63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37897025">
    <w:abstractNumId w:val="2"/>
  </w:num>
  <w:num w:numId="2" w16cid:durableId="903293781">
    <w:abstractNumId w:val="0"/>
  </w:num>
  <w:num w:numId="3" w16cid:durableId="135101336">
    <w:abstractNumId w:val="1"/>
  </w:num>
  <w:num w:numId="4" w16cid:durableId="4149780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EE5"/>
    <w:rsid w:val="000121D9"/>
    <w:rsid w:val="00014C85"/>
    <w:rsid w:val="00033BAA"/>
    <w:rsid w:val="00034055"/>
    <w:rsid w:val="00052C8D"/>
    <w:rsid w:val="000612BF"/>
    <w:rsid w:val="000727AF"/>
    <w:rsid w:val="00084034"/>
    <w:rsid w:val="00090147"/>
    <w:rsid w:val="000A2C5E"/>
    <w:rsid w:val="000B0110"/>
    <w:rsid w:val="000B08A9"/>
    <w:rsid w:val="000B72D7"/>
    <w:rsid w:val="000B72EF"/>
    <w:rsid w:val="000C44F3"/>
    <w:rsid w:val="000C5ADD"/>
    <w:rsid w:val="000C5CA7"/>
    <w:rsid w:val="000D5388"/>
    <w:rsid w:val="000D5B87"/>
    <w:rsid w:val="0012001B"/>
    <w:rsid w:val="00143F2D"/>
    <w:rsid w:val="00145890"/>
    <w:rsid w:val="00153D56"/>
    <w:rsid w:val="00156583"/>
    <w:rsid w:val="00162FFE"/>
    <w:rsid w:val="001704B2"/>
    <w:rsid w:val="00171C57"/>
    <w:rsid w:val="001909F5"/>
    <w:rsid w:val="001A0B6D"/>
    <w:rsid w:val="001A3BB8"/>
    <w:rsid w:val="001A3BD9"/>
    <w:rsid w:val="001A6200"/>
    <w:rsid w:val="001A628E"/>
    <w:rsid w:val="001A6733"/>
    <w:rsid w:val="001B4F79"/>
    <w:rsid w:val="001C7625"/>
    <w:rsid w:val="001D67EC"/>
    <w:rsid w:val="0020358E"/>
    <w:rsid w:val="00205C70"/>
    <w:rsid w:val="002078D1"/>
    <w:rsid w:val="00207A19"/>
    <w:rsid w:val="002123B9"/>
    <w:rsid w:val="002148D7"/>
    <w:rsid w:val="002373DD"/>
    <w:rsid w:val="00247929"/>
    <w:rsid w:val="00260774"/>
    <w:rsid w:val="00261D21"/>
    <w:rsid w:val="00273677"/>
    <w:rsid w:val="00281B96"/>
    <w:rsid w:val="002861FA"/>
    <w:rsid w:val="00291831"/>
    <w:rsid w:val="0029328D"/>
    <w:rsid w:val="002A11A0"/>
    <w:rsid w:val="002A1C0B"/>
    <w:rsid w:val="002A2915"/>
    <w:rsid w:val="002A7E6B"/>
    <w:rsid w:val="002C029E"/>
    <w:rsid w:val="002C4FBD"/>
    <w:rsid w:val="002F3359"/>
    <w:rsid w:val="002F429F"/>
    <w:rsid w:val="002F623F"/>
    <w:rsid w:val="002F7C7D"/>
    <w:rsid w:val="00306381"/>
    <w:rsid w:val="00313295"/>
    <w:rsid w:val="00326A19"/>
    <w:rsid w:val="00352304"/>
    <w:rsid w:val="00366B13"/>
    <w:rsid w:val="00373D52"/>
    <w:rsid w:val="00374030"/>
    <w:rsid w:val="003D2504"/>
    <w:rsid w:val="003D5402"/>
    <w:rsid w:val="003E18F4"/>
    <w:rsid w:val="003E4E08"/>
    <w:rsid w:val="0040343F"/>
    <w:rsid w:val="00412DDD"/>
    <w:rsid w:val="004151CB"/>
    <w:rsid w:val="004231DD"/>
    <w:rsid w:val="00434848"/>
    <w:rsid w:val="00450EAB"/>
    <w:rsid w:val="00450F8D"/>
    <w:rsid w:val="00456977"/>
    <w:rsid w:val="004573D8"/>
    <w:rsid w:val="004642DD"/>
    <w:rsid w:val="00470B58"/>
    <w:rsid w:val="004760B7"/>
    <w:rsid w:val="00490234"/>
    <w:rsid w:val="004C14B3"/>
    <w:rsid w:val="004C1582"/>
    <w:rsid w:val="004C6B7C"/>
    <w:rsid w:val="004D0525"/>
    <w:rsid w:val="004D1EF8"/>
    <w:rsid w:val="004D3233"/>
    <w:rsid w:val="004E4619"/>
    <w:rsid w:val="0050507B"/>
    <w:rsid w:val="00505440"/>
    <w:rsid w:val="005056E5"/>
    <w:rsid w:val="00507962"/>
    <w:rsid w:val="00510A80"/>
    <w:rsid w:val="00520BCF"/>
    <w:rsid w:val="0052223F"/>
    <w:rsid w:val="00522790"/>
    <w:rsid w:val="0052302D"/>
    <w:rsid w:val="005264BA"/>
    <w:rsid w:val="00532503"/>
    <w:rsid w:val="00533FCD"/>
    <w:rsid w:val="005374BD"/>
    <w:rsid w:val="005457C8"/>
    <w:rsid w:val="0054661F"/>
    <w:rsid w:val="005575DC"/>
    <w:rsid w:val="00561532"/>
    <w:rsid w:val="00580E5B"/>
    <w:rsid w:val="00592A67"/>
    <w:rsid w:val="005A1DF9"/>
    <w:rsid w:val="005A4499"/>
    <w:rsid w:val="005A57AD"/>
    <w:rsid w:val="005C0412"/>
    <w:rsid w:val="005C32AD"/>
    <w:rsid w:val="005E21B1"/>
    <w:rsid w:val="005E66D2"/>
    <w:rsid w:val="005F2B0B"/>
    <w:rsid w:val="005F5A0D"/>
    <w:rsid w:val="00607DBB"/>
    <w:rsid w:val="006113E5"/>
    <w:rsid w:val="0062485E"/>
    <w:rsid w:val="00635DDB"/>
    <w:rsid w:val="006403C8"/>
    <w:rsid w:val="00646BDB"/>
    <w:rsid w:val="006510CD"/>
    <w:rsid w:val="006532BE"/>
    <w:rsid w:val="006567F6"/>
    <w:rsid w:val="00662527"/>
    <w:rsid w:val="00666605"/>
    <w:rsid w:val="00675006"/>
    <w:rsid w:val="00681162"/>
    <w:rsid w:val="00682874"/>
    <w:rsid w:val="006865D1"/>
    <w:rsid w:val="00695A26"/>
    <w:rsid w:val="006A0D70"/>
    <w:rsid w:val="006A292C"/>
    <w:rsid w:val="006A61C1"/>
    <w:rsid w:val="006B2987"/>
    <w:rsid w:val="006C7BC3"/>
    <w:rsid w:val="006D21EB"/>
    <w:rsid w:val="006D273B"/>
    <w:rsid w:val="006D3724"/>
    <w:rsid w:val="006E3F08"/>
    <w:rsid w:val="006E51FB"/>
    <w:rsid w:val="006F2A44"/>
    <w:rsid w:val="00717294"/>
    <w:rsid w:val="00741846"/>
    <w:rsid w:val="00746AC2"/>
    <w:rsid w:val="00747B13"/>
    <w:rsid w:val="00750789"/>
    <w:rsid w:val="0076794C"/>
    <w:rsid w:val="007709E7"/>
    <w:rsid w:val="0079020D"/>
    <w:rsid w:val="00792F77"/>
    <w:rsid w:val="007B6DC4"/>
    <w:rsid w:val="007C1F0D"/>
    <w:rsid w:val="007C632C"/>
    <w:rsid w:val="007D429C"/>
    <w:rsid w:val="007D7E32"/>
    <w:rsid w:val="007E4746"/>
    <w:rsid w:val="007E5B6A"/>
    <w:rsid w:val="007F0465"/>
    <w:rsid w:val="007F2EAB"/>
    <w:rsid w:val="0081106B"/>
    <w:rsid w:val="00821CA6"/>
    <w:rsid w:val="00831545"/>
    <w:rsid w:val="00831832"/>
    <w:rsid w:val="008319B1"/>
    <w:rsid w:val="00860D89"/>
    <w:rsid w:val="00861738"/>
    <w:rsid w:val="00872DF7"/>
    <w:rsid w:val="008771F2"/>
    <w:rsid w:val="00877788"/>
    <w:rsid w:val="0088719E"/>
    <w:rsid w:val="008929A7"/>
    <w:rsid w:val="008A078F"/>
    <w:rsid w:val="008B6360"/>
    <w:rsid w:val="008C7A3E"/>
    <w:rsid w:val="008D5978"/>
    <w:rsid w:val="008F780E"/>
    <w:rsid w:val="00901B7E"/>
    <w:rsid w:val="00910296"/>
    <w:rsid w:val="00916875"/>
    <w:rsid w:val="00935B2B"/>
    <w:rsid w:val="00936A1B"/>
    <w:rsid w:val="00936CF9"/>
    <w:rsid w:val="00944DBE"/>
    <w:rsid w:val="00945034"/>
    <w:rsid w:val="00952D93"/>
    <w:rsid w:val="0095495D"/>
    <w:rsid w:val="00955E1E"/>
    <w:rsid w:val="00956FF0"/>
    <w:rsid w:val="00970DE8"/>
    <w:rsid w:val="0097261C"/>
    <w:rsid w:val="00987128"/>
    <w:rsid w:val="00995EAF"/>
    <w:rsid w:val="009A6E55"/>
    <w:rsid w:val="009B6F36"/>
    <w:rsid w:val="009C74E1"/>
    <w:rsid w:val="009D0D01"/>
    <w:rsid w:val="009D1C08"/>
    <w:rsid w:val="009D336D"/>
    <w:rsid w:val="009E0F0F"/>
    <w:rsid w:val="009E3237"/>
    <w:rsid w:val="009E786F"/>
    <w:rsid w:val="009F206B"/>
    <w:rsid w:val="009F5F36"/>
    <w:rsid w:val="00A104FB"/>
    <w:rsid w:val="00A10FB3"/>
    <w:rsid w:val="00A21E41"/>
    <w:rsid w:val="00A24E87"/>
    <w:rsid w:val="00A3474D"/>
    <w:rsid w:val="00A5039F"/>
    <w:rsid w:val="00A5451B"/>
    <w:rsid w:val="00A6569E"/>
    <w:rsid w:val="00A73C18"/>
    <w:rsid w:val="00A75D7E"/>
    <w:rsid w:val="00A84FDB"/>
    <w:rsid w:val="00AA36B2"/>
    <w:rsid w:val="00AA3CF6"/>
    <w:rsid w:val="00AA5348"/>
    <w:rsid w:val="00AB1791"/>
    <w:rsid w:val="00AB216B"/>
    <w:rsid w:val="00AC1714"/>
    <w:rsid w:val="00AD4987"/>
    <w:rsid w:val="00AD5D2A"/>
    <w:rsid w:val="00AD7B68"/>
    <w:rsid w:val="00AF6983"/>
    <w:rsid w:val="00B00B7B"/>
    <w:rsid w:val="00B05C68"/>
    <w:rsid w:val="00B05D19"/>
    <w:rsid w:val="00B157F6"/>
    <w:rsid w:val="00B16D60"/>
    <w:rsid w:val="00B16FFE"/>
    <w:rsid w:val="00B2145D"/>
    <w:rsid w:val="00B3388E"/>
    <w:rsid w:val="00B4007E"/>
    <w:rsid w:val="00B45741"/>
    <w:rsid w:val="00B53C38"/>
    <w:rsid w:val="00B54F4B"/>
    <w:rsid w:val="00B55F88"/>
    <w:rsid w:val="00B659E8"/>
    <w:rsid w:val="00B663C1"/>
    <w:rsid w:val="00B72393"/>
    <w:rsid w:val="00B73282"/>
    <w:rsid w:val="00B75C6B"/>
    <w:rsid w:val="00B760BB"/>
    <w:rsid w:val="00B80865"/>
    <w:rsid w:val="00B84D3C"/>
    <w:rsid w:val="00B85531"/>
    <w:rsid w:val="00B8700F"/>
    <w:rsid w:val="00B901F1"/>
    <w:rsid w:val="00B926F6"/>
    <w:rsid w:val="00BA1951"/>
    <w:rsid w:val="00BA2422"/>
    <w:rsid w:val="00BA388A"/>
    <w:rsid w:val="00BA566A"/>
    <w:rsid w:val="00BB2CAC"/>
    <w:rsid w:val="00BB3020"/>
    <w:rsid w:val="00BC752C"/>
    <w:rsid w:val="00BD17C4"/>
    <w:rsid w:val="00BD4DF7"/>
    <w:rsid w:val="00BF4F33"/>
    <w:rsid w:val="00C032FF"/>
    <w:rsid w:val="00C21528"/>
    <w:rsid w:val="00C27103"/>
    <w:rsid w:val="00C3314F"/>
    <w:rsid w:val="00C377E4"/>
    <w:rsid w:val="00C37CA2"/>
    <w:rsid w:val="00C431FD"/>
    <w:rsid w:val="00C5031C"/>
    <w:rsid w:val="00C51E1E"/>
    <w:rsid w:val="00C52E29"/>
    <w:rsid w:val="00C53516"/>
    <w:rsid w:val="00C53E50"/>
    <w:rsid w:val="00C5549D"/>
    <w:rsid w:val="00C575CC"/>
    <w:rsid w:val="00C57A1B"/>
    <w:rsid w:val="00C60668"/>
    <w:rsid w:val="00C6679C"/>
    <w:rsid w:val="00C700F1"/>
    <w:rsid w:val="00C751D3"/>
    <w:rsid w:val="00C87F7E"/>
    <w:rsid w:val="00C92D68"/>
    <w:rsid w:val="00CA0686"/>
    <w:rsid w:val="00CB0F13"/>
    <w:rsid w:val="00CC1E5F"/>
    <w:rsid w:val="00CC61E8"/>
    <w:rsid w:val="00CC7DB6"/>
    <w:rsid w:val="00CD7FFE"/>
    <w:rsid w:val="00CE2835"/>
    <w:rsid w:val="00D06ED3"/>
    <w:rsid w:val="00D1179F"/>
    <w:rsid w:val="00D176B6"/>
    <w:rsid w:val="00D24AAB"/>
    <w:rsid w:val="00D25920"/>
    <w:rsid w:val="00D36F26"/>
    <w:rsid w:val="00D40EA4"/>
    <w:rsid w:val="00D5436B"/>
    <w:rsid w:val="00D559B4"/>
    <w:rsid w:val="00D6317A"/>
    <w:rsid w:val="00D72DC6"/>
    <w:rsid w:val="00D7668D"/>
    <w:rsid w:val="00DA3912"/>
    <w:rsid w:val="00DA6B61"/>
    <w:rsid w:val="00DB5EB0"/>
    <w:rsid w:val="00DC5063"/>
    <w:rsid w:val="00DD0471"/>
    <w:rsid w:val="00DD167A"/>
    <w:rsid w:val="00DD3E14"/>
    <w:rsid w:val="00E01900"/>
    <w:rsid w:val="00E1490D"/>
    <w:rsid w:val="00E14FC3"/>
    <w:rsid w:val="00E45488"/>
    <w:rsid w:val="00E46315"/>
    <w:rsid w:val="00E51EC8"/>
    <w:rsid w:val="00E55199"/>
    <w:rsid w:val="00E64A1E"/>
    <w:rsid w:val="00E65439"/>
    <w:rsid w:val="00E67B0F"/>
    <w:rsid w:val="00E72D93"/>
    <w:rsid w:val="00E73DC1"/>
    <w:rsid w:val="00E74082"/>
    <w:rsid w:val="00E80E95"/>
    <w:rsid w:val="00E813CD"/>
    <w:rsid w:val="00E81C0C"/>
    <w:rsid w:val="00E87046"/>
    <w:rsid w:val="00E902AC"/>
    <w:rsid w:val="00EA0A5F"/>
    <w:rsid w:val="00EA7EE5"/>
    <w:rsid w:val="00EC1F83"/>
    <w:rsid w:val="00ED1049"/>
    <w:rsid w:val="00ED3BE0"/>
    <w:rsid w:val="00EF7FE6"/>
    <w:rsid w:val="00F04F20"/>
    <w:rsid w:val="00F12B48"/>
    <w:rsid w:val="00F158B3"/>
    <w:rsid w:val="00F30468"/>
    <w:rsid w:val="00F30A85"/>
    <w:rsid w:val="00F4354B"/>
    <w:rsid w:val="00F43E13"/>
    <w:rsid w:val="00F505B6"/>
    <w:rsid w:val="00F572E8"/>
    <w:rsid w:val="00F60E4B"/>
    <w:rsid w:val="00F83BF6"/>
    <w:rsid w:val="00F85D1D"/>
    <w:rsid w:val="00F900DC"/>
    <w:rsid w:val="00F95B26"/>
    <w:rsid w:val="00F975D2"/>
    <w:rsid w:val="00F97968"/>
    <w:rsid w:val="00FD32FF"/>
    <w:rsid w:val="00FD57F4"/>
    <w:rsid w:val="00FE23B4"/>
    <w:rsid w:val="00FE2BEA"/>
    <w:rsid w:val="00FF74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C268F"/>
  <w15:chartTrackingRefBased/>
  <w15:docId w15:val="{8FC2E7ED-7890-4CCA-97B0-DA5821A8E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A36B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DB5EB0"/>
    <w:rPr>
      <w:sz w:val="16"/>
      <w:szCs w:val="16"/>
    </w:rPr>
  </w:style>
  <w:style w:type="paragraph" w:styleId="Tekstkomentarza">
    <w:name w:val="annotation text"/>
    <w:basedOn w:val="Normalny"/>
    <w:link w:val="TekstkomentarzaZnak"/>
    <w:uiPriority w:val="99"/>
    <w:unhideWhenUsed/>
    <w:rsid w:val="00DB5EB0"/>
    <w:pPr>
      <w:spacing w:line="240" w:lineRule="auto"/>
    </w:pPr>
    <w:rPr>
      <w:sz w:val="20"/>
    </w:rPr>
  </w:style>
  <w:style w:type="character" w:customStyle="1" w:styleId="TekstkomentarzaZnak">
    <w:name w:val="Tekst komentarza Znak"/>
    <w:basedOn w:val="Domylnaczcionkaakapitu"/>
    <w:link w:val="Tekstkomentarza"/>
    <w:uiPriority w:val="99"/>
    <w:rsid w:val="00DB5EB0"/>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DB5EB0"/>
    <w:rPr>
      <w:b/>
      <w:bCs/>
    </w:rPr>
  </w:style>
  <w:style w:type="character" w:customStyle="1" w:styleId="TematkomentarzaZnak">
    <w:name w:val="Temat komentarza Znak"/>
    <w:basedOn w:val="TekstkomentarzaZnak"/>
    <w:link w:val="Tematkomentarza"/>
    <w:uiPriority w:val="99"/>
    <w:semiHidden/>
    <w:rsid w:val="00DB5EB0"/>
    <w:rPr>
      <w:rFonts w:ascii="Times New Roman" w:eastAsiaTheme="minorEastAsia" w:hAnsi="Times New Roman" w:cs="Arial"/>
      <w:b/>
      <w:bCs/>
      <w:sz w:val="20"/>
      <w:szCs w:val="20"/>
      <w:lang w:eastAsia="pl-PL"/>
    </w:rPr>
  </w:style>
  <w:style w:type="paragraph" w:styleId="Akapitzlist">
    <w:name w:val="List Paragraph"/>
    <w:basedOn w:val="Normalny"/>
    <w:uiPriority w:val="34"/>
    <w:qFormat/>
    <w:rsid w:val="00DD167A"/>
    <w:pPr>
      <w:ind w:left="720"/>
      <w:contextualSpacing/>
    </w:pPr>
  </w:style>
  <w:style w:type="paragraph" w:styleId="Tekstprzypisudolnego">
    <w:name w:val="footnote text"/>
    <w:aliases w:val="Podrozdział,Fußnote,Footnote,Podrozdzia3,Przypis,-E Fuﬂnotentext,Fuﬂnotentext Ursprung,footnote text,Fußnotentext Ursprung,-E Fußnotentext,Footnote text,Tekst przypisu Znak Znak Znak Znak,Tekst przypisu Znak Znak Znak Znak Znak,Pl"/>
    <w:basedOn w:val="Normalny"/>
    <w:link w:val="TekstprzypisudolnegoZnak"/>
    <w:uiPriority w:val="99"/>
    <w:unhideWhenUsed/>
    <w:qFormat/>
    <w:rsid w:val="00D72DC6"/>
    <w:pPr>
      <w:spacing w:line="240" w:lineRule="auto"/>
    </w:pPr>
    <w:rPr>
      <w:sz w:val="20"/>
    </w:rPr>
  </w:style>
  <w:style w:type="character" w:customStyle="1" w:styleId="TekstprzypisudolnegoZnak">
    <w:name w:val="Tekst przypisu dolnego Znak"/>
    <w:aliases w:val="Podrozdział Znak,Fußnote Znak,Footnote Znak,Podrozdzia3 Znak,Przypis Znak,-E Fuﬂnotentext Znak,Fuﬂnotentext Ursprung Znak,footnote text Znak,Fußnotentext Ursprung Znak,-E Fußnotentext Znak,Footnote text Znak,Pl Znak"/>
    <w:basedOn w:val="Domylnaczcionkaakapitu"/>
    <w:link w:val="Tekstprzypisudolnego"/>
    <w:uiPriority w:val="99"/>
    <w:rsid w:val="00D72DC6"/>
    <w:rPr>
      <w:rFonts w:ascii="Times New Roman" w:eastAsiaTheme="minorEastAsia" w:hAnsi="Times New Roman" w:cs="Arial"/>
      <w:sz w:val="20"/>
      <w:szCs w:val="20"/>
      <w:lang w:eastAsia="pl-PL"/>
    </w:rPr>
  </w:style>
  <w:style w:type="character" w:styleId="Odwoanieprzypisudolnego">
    <w:name w:val="footnote reference"/>
    <w:aliases w:val="Footnote Reference Number,Footnote reference number,Footnote symbol,note TESI,SUPERS,EN Footnote Reference,Appel note de bas de p,Nota,Footnote Reference/,BVI fnr, BVI fnr,Footnote Reference Superscript,Footnote Reference_LVL6"/>
    <w:basedOn w:val="Domylnaczcionkaakapitu"/>
    <w:uiPriority w:val="99"/>
    <w:unhideWhenUsed/>
    <w:qFormat/>
    <w:rsid w:val="00D72DC6"/>
    <w:rPr>
      <w:vertAlign w:val="superscript"/>
    </w:rPr>
  </w:style>
  <w:style w:type="character" w:customStyle="1" w:styleId="citation-235">
    <w:name w:val="citation-235"/>
    <w:basedOn w:val="Domylnaczcionkaakapitu"/>
    <w:rsid w:val="008D5978"/>
  </w:style>
  <w:style w:type="paragraph" w:styleId="Nagwek">
    <w:name w:val="header"/>
    <w:basedOn w:val="Normalny"/>
    <w:link w:val="NagwekZnak"/>
    <w:uiPriority w:val="99"/>
    <w:unhideWhenUsed/>
    <w:rsid w:val="00592A67"/>
    <w:pPr>
      <w:tabs>
        <w:tab w:val="center" w:pos="4536"/>
        <w:tab w:val="right" w:pos="9072"/>
      </w:tabs>
      <w:spacing w:line="240" w:lineRule="auto"/>
    </w:pPr>
  </w:style>
  <w:style w:type="character" w:customStyle="1" w:styleId="NagwekZnak">
    <w:name w:val="Nagłówek Znak"/>
    <w:basedOn w:val="Domylnaczcionkaakapitu"/>
    <w:link w:val="Nagwek"/>
    <w:uiPriority w:val="99"/>
    <w:rsid w:val="00592A67"/>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592A67"/>
    <w:pPr>
      <w:tabs>
        <w:tab w:val="center" w:pos="4536"/>
        <w:tab w:val="right" w:pos="9072"/>
      </w:tabs>
      <w:spacing w:line="240" w:lineRule="auto"/>
    </w:pPr>
  </w:style>
  <w:style w:type="character" w:customStyle="1" w:styleId="StopkaZnak">
    <w:name w:val="Stopka Znak"/>
    <w:basedOn w:val="Domylnaczcionkaakapitu"/>
    <w:link w:val="Stopka"/>
    <w:uiPriority w:val="99"/>
    <w:rsid w:val="00592A67"/>
    <w:rPr>
      <w:rFonts w:ascii="Times New Roman" w:eastAsiaTheme="minorEastAsia" w:hAnsi="Times New Roman" w:cs="Arial"/>
      <w:sz w:val="24"/>
      <w:szCs w:val="20"/>
      <w:lang w:eastAsia="pl-PL"/>
    </w:rPr>
  </w:style>
  <w:style w:type="paragraph" w:styleId="Tekstprzypisukocowego">
    <w:name w:val="endnote text"/>
    <w:basedOn w:val="Normalny"/>
    <w:link w:val="TekstprzypisukocowegoZnak"/>
    <w:uiPriority w:val="99"/>
    <w:semiHidden/>
    <w:unhideWhenUsed/>
    <w:rsid w:val="00247929"/>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247929"/>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247929"/>
    <w:rPr>
      <w:vertAlign w:val="superscript"/>
    </w:rPr>
  </w:style>
  <w:style w:type="character" w:styleId="Hipercze">
    <w:name w:val="Hyperlink"/>
    <w:uiPriority w:val="99"/>
    <w:unhideWhenUsed/>
    <w:rsid w:val="00034055"/>
    <w:rPr>
      <w:color w:val="0000FF"/>
      <w:u w:val="single"/>
    </w:rPr>
  </w:style>
  <w:style w:type="character" w:styleId="Pogrubienie">
    <w:name w:val="Strong"/>
    <w:basedOn w:val="Domylnaczcionkaakapitu"/>
    <w:uiPriority w:val="22"/>
    <w:qFormat/>
    <w:rsid w:val="00034055"/>
    <w:rPr>
      <w:b/>
      <w:bCs/>
    </w:rPr>
  </w:style>
  <w:style w:type="paragraph" w:styleId="Poprawka">
    <w:name w:val="Revision"/>
    <w:hidden/>
    <w:uiPriority w:val="99"/>
    <w:semiHidden/>
    <w:rsid w:val="00BF4F33"/>
    <w:pPr>
      <w:spacing w:after="0" w:line="240" w:lineRule="auto"/>
    </w:pPr>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A104FB"/>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04FB"/>
    <w:rPr>
      <w:rFonts w:ascii="Segoe UI" w:eastAsiaTheme="minorEastAsia"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21129">
      <w:bodyDiv w:val="1"/>
      <w:marLeft w:val="0"/>
      <w:marRight w:val="0"/>
      <w:marTop w:val="0"/>
      <w:marBottom w:val="0"/>
      <w:divBdr>
        <w:top w:val="none" w:sz="0" w:space="0" w:color="auto"/>
        <w:left w:val="none" w:sz="0" w:space="0" w:color="auto"/>
        <w:bottom w:val="none" w:sz="0" w:space="0" w:color="auto"/>
        <w:right w:val="none" w:sz="0" w:space="0" w:color="auto"/>
      </w:divBdr>
      <w:divsChild>
        <w:div w:id="2049453720">
          <w:marLeft w:val="0"/>
          <w:marRight w:val="0"/>
          <w:marTop w:val="0"/>
          <w:marBottom w:val="0"/>
          <w:divBdr>
            <w:top w:val="none" w:sz="0" w:space="0" w:color="auto"/>
            <w:left w:val="none" w:sz="0" w:space="0" w:color="auto"/>
            <w:bottom w:val="none" w:sz="0" w:space="0" w:color="auto"/>
            <w:right w:val="none" w:sz="0" w:space="0" w:color="auto"/>
          </w:divBdr>
        </w:div>
      </w:divsChild>
    </w:div>
    <w:div w:id="157770740">
      <w:bodyDiv w:val="1"/>
      <w:marLeft w:val="0"/>
      <w:marRight w:val="0"/>
      <w:marTop w:val="0"/>
      <w:marBottom w:val="0"/>
      <w:divBdr>
        <w:top w:val="none" w:sz="0" w:space="0" w:color="auto"/>
        <w:left w:val="none" w:sz="0" w:space="0" w:color="auto"/>
        <w:bottom w:val="none" w:sz="0" w:space="0" w:color="auto"/>
        <w:right w:val="none" w:sz="0" w:space="0" w:color="auto"/>
      </w:divBdr>
      <w:divsChild>
        <w:div w:id="317730993">
          <w:marLeft w:val="0"/>
          <w:marRight w:val="0"/>
          <w:marTop w:val="0"/>
          <w:marBottom w:val="0"/>
          <w:divBdr>
            <w:top w:val="none" w:sz="0" w:space="0" w:color="auto"/>
            <w:left w:val="none" w:sz="0" w:space="0" w:color="auto"/>
            <w:bottom w:val="none" w:sz="0" w:space="0" w:color="auto"/>
            <w:right w:val="none" w:sz="0" w:space="0" w:color="auto"/>
          </w:divBdr>
        </w:div>
      </w:divsChild>
    </w:div>
    <w:div w:id="173301259">
      <w:bodyDiv w:val="1"/>
      <w:marLeft w:val="0"/>
      <w:marRight w:val="0"/>
      <w:marTop w:val="0"/>
      <w:marBottom w:val="0"/>
      <w:divBdr>
        <w:top w:val="none" w:sz="0" w:space="0" w:color="auto"/>
        <w:left w:val="none" w:sz="0" w:space="0" w:color="auto"/>
        <w:bottom w:val="none" w:sz="0" w:space="0" w:color="auto"/>
        <w:right w:val="none" w:sz="0" w:space="0" w:color="auto"/>
      </w:divBdr>
    </w:div>
    <w:div w:id="216864265">
      <w:bodyDiv w:val="1"/>
      <w:marLeft w:val="0"/>
      <w:marRight w:val="0"/>
      <w:marTop w:val="0"/>
      <w:marBottom w:val="0"/>
      <w:divBdr>
        <w:top w:val="none" w:sz="0" w:space="0" w:color="auto"/>
        <w:left w:val="none" w:sz="0" w:space="0" w:color="auto"/>
        <w:bottom w:val="none" w:sz="0" w:space="0" w:color="auto"/>
        <w:right w:val="none" w:sz="0" w:space="0" w:color="auto"/>
      </w:divBdr>
      <w:divsChild>
        <w:div w:id="1563445767">
          <w:marLeft w:val="0"/>
          <w:marRight w:val="0"/>
          <w:marTop w:val="0"/>
          <w:marBottom w:val="0"/>
          <w:divBdr>
            <w:top w:val="none" w:sz="0" w:space="0" w:color="auto"/>
            <w:left w:val="none" w:sz="0" w:space="0" w:color="auto"/>
            <w:bottom w:val="none" w:sz="0" w:space="0" w:color="auto"/>
            <w:right w:val="none" w:sz="0" w:space="0" w:color="auto"/>
          </w:divBdr>
        </w:div>
      </w:divsChild>
    </w:div>
    <w:div w:id="231426873">
      <w:bodyDiv w:val="1"/>
      <w:marLeft w:val="0"/>
      <w:marRight w:val="0"/>
      <w:marTop w:val="0"/>
      <w:marBottom w:val="0"/>
      <w:divBdr>
        <w:top w:val="none" w:sz="0" w:space="0" w:color="auto"/>
        <w:left w:val="none" w:sz="0" w:space="0" w:color="auto"/>
        <w:bottom w:val="none" w:sz="0" w:space="0" w:color="auto"/>
        <w:right w:val="none" w:sz="0" w:space="0" w:color="auto"/>
      </w:divBdr>
    </w:div>
    <w:div w:id="249894491">
      <w:bodyDiv w:val="1"/>
      <w:marLeft w:val="0"/>
      <w:marRight w:val="0"/>
      <w:marTop w:val="0"/>
      <w:marBottom w:val="0"/>
      <w:divBdr>
        <w:top w:val="none" w:sz="0" w:space="0" w:color="auto"/>
        <w:left w:val="none" w:sz="0" w:space="0" w:color="auto"/>
        <w:bottom w:val="none" w:sz="0" w:space="0" w:color="auto"/>
        <w:right w:val="none" w:sz="0" w:space="0" w:color="auto"/>
      </w:divBdr>
    </w:div>
    <w:div w:id="289552414">
      <w:bodyDiv w:val="1"/>
      <w:marLeft w:val="0"/>
      <w:marRight w:val="0"/>
      <w:marTop w:val="0"/>
      <w:marBottom w:val="0"/>
      <w:divBdr>
        <w:top w:val="none" w:sz="0" w:space="0" w:color="auto"/>
        <w:left w:val="none" w:sz="0" w:space="0" w:color="auto"/>
        <w:bottom w:val="none" w:sz="0" w:space="0" w:color="auto"/>
        <w:right w:val="none" w:sz="0" w:space="0" w:color="auto"/>
      </w:divBdr>
      <w:divsChild>
        <w:div w:id="970401622">
          <w:marLeft w:val="0"/>
          <w:marRight w:val="0"/>
          <w:marTop w:val="0"/>
          <w:marBottom w:val="0"/>
          <w:divBdr>
            <w:top w:val="none" w:sz="0" w:space="0" w:color="auto"/>
            <w:left w:val="none" w:sz="0" w:space="0" w:color="auto"/>
            <w:bottom w:val="none" w:sz="0" w:space="0" w:color="auto"/>
            <w:right w:val="none" w:sz="0" w:space="0" w:color="auto"/>
          </w:divBdr>
        </w:div>
      </w:divsChild>
    </w:div>
    <w:div w:id="292104688">
      <w:bodyDiv w:val="1"/>
      <w:marLeft w:val="0"/>
      <w:marRight w:val="0"/>
      <w:marTop w:val="0"/>
      <w:marBottom w:val="0"/>
      <w:divBdr>
        <w:top w:val="none" w:sz="0" w:space="0" w:color="auto"/>
        <w:left w:val="none" w:sz="0" w:space="0" w:color="auto"/>
        <w:bottom w:val="none" w:sz="0" w:space="0" w:color="auto"/>
        <w:right w:val="none" w:sz="0" w:space="0" w:color="auto"/>
      </w:divBdr>
    </w:div>
    <w:div w:id="300309120">
      <w:bodyDiv w:val="1"/>
      <w:marLeft w:val="0"/>
      <w:marRight w:val="0"/>
      <w:marTop w:val="0"/>
      <w:marBottom w:val="0"/>
      <w:divBdr>
        <w:top w:val="none" w:sz="0" w:space="0" w:color="auto"/>
        <w:left w:val="none" w:sz="0" w:space="0" w:color="auto"/>
        <w:bottom w:val="none" w:sz="0" w:space="0" w:color="auto"/>
        <w:right w:val="none" w:sz="0" w:space="0" w:color="auto"/>
      </w:divBdr>
    </w:div>
    <w:div w:id="311249966">
      <w:bodyDiv w:val="1"/>
      <w:marLeft w:val="0"/>
      <w:marRight w:val="0"/>
      <w:marTop w:val="0"/>
      <w:marBottom w:val="0"/>
      <w:divBdr>
        <w:top w:val="none" w:sz="0" w:space="0" w:color="auto"/>
        <w:left w:val="none" w:sz="0" w:space="0" w:color="auto"/>
        <w:bottom w:val="none" w:sz="0" w:space="0" w:color="auto"/>
        <w:right w:val="none" w:sz="0" w:space="0" w:color="auto"/>
      </w:divBdr>
    </w:div>
    <w:div w:id="493881975">
      <w:bodyDiv w:val="1"/>
      <w:marLeft w:val="0"/>
      <w:marRight w:val="0"/>
      <w:marTop w:val="0"/>
      <w:marBottom w:val="0"/>
      <w:divBdr>
        <w:top w:val="none" w:sz="0" w:space="0" w:color="auto"/>
        <w:left w:val="none" w:sz="0" w:space="0" w:color="auto"/>
        <w:bottom w:val="none" w:sz="0" w:space="0" w:color="auto"/>
        <w:right w:val="none" w:sz="0" w:space="0" w:color="auto"/>
      </w:divBdr>
      <w:divsChild>
        <w:div w:id="1645042225">
          <w:marLeft w:val="0"/>
          <w:marRight w:val="0"/>
          <w:marTop w:val="0"/>
          <w:marBottom w:val="0"/>
          <w:divBdr>
            <w:top w:val="none" w:sz="0" w:space="0" w:color="auto"/>
            <w:left w:val="none" w:sz="0" w:space="0" w:color="auto"/>
            <w:bottom w:val="none" w:sz="0" w:space="0" w:color="auto"/>
            <w:right w:val="none" w:sz="0" w:space="0" w:color="auto"/>
          </w:divBdr>
        </w:div>
      </w:divsChild>
    </w:div>
    <w:div w:id="526872544">
      <w:bodyDiv w:val="1"/>
      <w:marLeft w:val="0"/>
      <w:marRight w:val="0"/>
      <w:marTop w:val="0"/>
      <w:marBottom w:val="0"/>
      <w:divBdr>
        <w:top w:val="none" w:sz="0" w:space="0" w:color="auto"/>
        <w:left w:val="none" w:sz="0" w:space="0" w:color="auto"/>
        <w:bottom w:val="none" w:sz="0" w:space="0" w:color="auto"/>
        <w:right w:val="none" w:sz="0" w:space="0" w:color="auto"/>
      </w:divBdr>
      <w:divsChild>
        <w:div w:id="1360349160">
          <w:marLeft w:val="0"/>
          <w:marRight w:val="0"/>
          <w:marTop w:val="0"/>
          <w:marBottom w:val="0"/>
          <w:divBdr>
            <w:top w:val="none" w:sz="0" w:space="0" w:color="auto"/>
            <w:left w:val="none" w:sz="0" w:space="0" w:color="auto"/>
            <w:bottom w:val="none" w:sz="0" w:space="0" w:color="auto"/>
            <w:right w:val="none" w:sz="0" w:space="0" w:color="auto"/>
          </w:divBdr>
        </w:div>
      </w:divsChild>
    </w:div>
    <w:div w:id="583341401">
      <w:bodyDiv w:val="1"/>
      <w:marLeft w:val="0"/>
      <w:marRight w:val="0"/>
      <w:marTop w:val="0"/>
      <w:marBottom w:val="0"/>
      <w:divBdr>
        <w:top w:val="none" w:sz="0" w:space="0" w:color="auto"/>
        <w:left w:val="none" w:sz="0" w:space="0" w:color="auto"/>
        <w:bottom w:val="none" w:sz="0" w:space="0" w:color="auto"/>
        <w:right w:val="none" w:sz="0" w:space="0" w:color="auto"/>
      </w:divBdr>
      <w:divsChild>
        <w:div w:id="807935103">
          <w:marLeft w:val="0"/>
          <w:marRight w:val="0"/>
          <w:marTop w:val="0"/>
          <w:marBottom w:val="0"/>
          <w:divBdr>
            <w:top w:val="none" w:sz="0" w:space="0" w:color="auto"/>
            <w:left w:val="none" w:sz="0" w:space="0" w:color="auto"/>
            <w:bottom w:val="none" w:sz="0" w:space="0" w:color="auto"/>
            <w:right w:val="none" w:sz="0" w:space="0" w:color="auto"/>
          </w:divBdr>
        </w:div>
        <w:div w:id="1110315981">
          <w:marLeft w:val="0"/>
          <w:marRight w:val="0"/>
          <w:marTop w:val="0"/>
          <w:marBottom w:val="0"/>
          <w:divBdr>
            <w:top w:val="none" w:sz="0" w:space="0" w:color="auto"/>
            <w:left w:val="none" w:sz="0" w:space="0" w:color="auto"/>
            <w:bottom w:val="none" w:sz="0" w:space="0" w:color="auto"/>
            <w:right w:val="none" w:sz="0" w:space="0" w:color="auto"/>
          </w:divBdr>
        </w:div>
      </w:divsChild>
    </w:div>
    <w:div w:id="611010735">
      <w:bodyDiv w:val="1"/>
      <w:marLeft w:val="0"/>
      <w:marRight w:val="0"/>
      <w:marTop w:val="0"/>
      <w:marBottom w:val="0"/>
      <w:divBdr>
        <w:top w:val="none" w:sz="0" w:space="0" w:color="auto"/>
        <w:left w:val="none" w:sz="0" w:space="0" w:color="auto"/>
        <w:bottom w:val="none" w:sz="0" w:space="0" w:color="auto"/>
        <w:right w:val="none" w:sz="0" w:space="0" w:color="auto"/>
      </w:divBdr>
    </w:div>
    <w:div w:id="807208971">
      <w:bodyDiv w:val="1"/>
      <w:marLeft w:val="0"/>
      <w:marRight w:val="0"/>
      <w:marTop w:val="0"/>
      <w:marBottom w:val="0"/>
      <w:divBdr>
        <w:top w:val="none" w:sz="0" w:space="0" w:color="auto"/>
        <w:left w:val="none" w:sz="0" w:space="0" w:color="auto"/>
        <w:bottom w:val="none" w:sz="0" w:space="0" w:color="auto"/>
        <w:right w:val="none" w:sz="0" w:space="0" w:color="auto"/>
      </w:divBdr>
      <w:divsChild>
        <w:div w:id="1511606001">
          <w:marLeft w:val="0"/>
          <w:marRight w:val="0"/>
          <w:marTop w:val="0"/>
          <w:marBottom w:val="0"/>
          <w:divBdr>
            <w:top w:val="none" w:sz="0" w:space="0" w:color="auto"/>
            <w:left w:val="none" w:sz="0" w:space="0" w:color="auto"/>
            <w:bottom w:val="none" w:sz="0" w:space="0" w:color="auto"/>
            <w:right w:val="none" w:sz="0" w:space="0" w:color="auto"/>
          </w:divBdr>
        </w:div>
      </w:divsChild>
    </w:div>
    <w:div w:id="807747074">
      <w:bodyDiv w:val="1"/>
      <w:marLeft w:val="0"/>
      <w:marRight w:val="0"/>
      <w:marTop w:val="0"/>
      <w:marBottom w:val="0"/>
      <w:divBdr>
        <w:top w:val="none" w:sz="0" w:space="0" w:color="auto"/>
        <w:left w:val="none" w:sz="0" w:space="0" w:color="auto"/>
        <w:bottom w:val="none" w:sz="0" w:space="0" w:color="auto"/>
        <w:right w:val="none" w:sz="0" w:space="0" w:color="auto"/>
      </w:divBdr>
    </w:div>
    <w:div w:id="825050058">
      <w:bodyDiv w:val="1"/>
      <w:marLeft w:val="0"/>
      <w:marRight w:val="0"/>
      <w:marTop w:val="0"/>
      <w:marBottom w:val="0"/>
      <w:divBdr>
        <w:top w:val="none" w:sz="0" w:space="0" w:color="auto"/>
        <w:left w:val="none" w:sz="0" w:space="0" w:color="auto"/>
        <w:bottom w:val="none" w:sz="0" w:space="0" w:color="auto"/>
        <w:right w:val="none" w:sz="0" w:space="0" w:color="auto"/>
      </w:divBdr>
    </w:div>
    <w:div w:id="827205669">
      <w:bodyDiv w:val="1"/>
      <w:marLeft w:val="0"/>
      <w:marRight w:val="0"/>
      <w:marTop w:val="0"/>
      <w:marBottom w:val="0"/>
      <w:divBdr>
        <w:top w:val="none" w:sz="0" w:space="0" w:color="auto"/>
        <w:left w:val="none" w:sz="0" w:space="0" w:color="auto"/>
        <w:bottom w:val="none" w:sz="0" w:space="0" w:color="auto"/>
        <w:right w:val="none" w:sz="0" w:space="0" w:color="auto"/>
      </w:divBdr>
    </w:div>
    <w:div w:id="871529664">
      <w:bodyDiv w:val="1"/>
      <w:marLeft w:val="0"/>
      <w:marRight w:val="0"/>
      <w:marTop w:val="0"/>
      <w:marBottom w:val="0"/>
      <w:divBdr>
        <w:top w:val="none" w:sz="0" w:space="0" w:color="auto"/>
        <w:left w:val="none" w:sz="0" w:space="0" w:color="auto"/>
        <w:bottom w:val="none" w:sz="0" w:space="0" w:color="auto"/>
        <w:right w:val="none" w:sz="0" w:space="0" w:color="auto"/>
      </w:divBdr>
    </w:div>
    <w:div w:id="906575189">
      <w:bodyDiv w:val="1"/>
      <w:marLeft w:val="0"/>
      <w:marRight w:val="0"/>
      <w:marTop w:val="0"/>
      <w:marBottom w:val="0"/>
      <w:divBdr>
        <w:top w:val="none" w:sz="0" w:space="0" w:color="auto"/>
        <w:left w:val="none" w:sz="0" w:space="0" w:color="auto"/>
        <w:bottom w:val="none" w:sz="0" w:space="0" w:color="auto"/>
        <w:right w:val="none" w:sz="0" w:space="0" w:color="auto"/>
      </w:divBdr>
    </w:div>
    <w:div w:id="973025060">
      <w:bodyDiv w:val="1"/>
      <w:marLeft w:val="0"/>
      <w:marRight w:val="0"/>
      <w:marTop w:val="0"/>
      <w:marBottom w:val="0"/>
      <w:divBdr>
        <w:top w:val="none" w:sz="0" w:space="0" w:color="auto"/>
        <w:left w:val="none" w:sz="0" w:space="0" w:color="auto"/>
        <w:bottom w:val="none" w:sz="0" w:space="0" w:color="auto"/>
        <w:right w:val="none" w:sz="0" w:space="0" w:color="auto"/>
      </w:divBdr>
      <w:divsChild>
        <w:div w:id="507406108">
          <w:marLeft w:val="0"/>
          <w:marRight w:val="0"/>
          <w:marTop w:val="0"/>
          <w:marBottom w:val="0"/>
          <w:divBdr>
            <w:top w:val="none" w:sz="0" w:space="0" w:color="auto"/>
            <w:left w:val="none" w:sz="0" w:space="0" w:color="auto"/>
            <w:bottom w:val="none" w:sz="0" w:space="0" w:color="auto"/>
            <w:right w:val="none" w:sz="0" w:space="0" w:color="auto"/>
          </w:divBdr>
        </w:div>
      </w:divsChild>
    </w:div>
    <w:div w:id="987368312">
      <w:bodyDiv w:val="1"/>
      <w:marLeft w:val="0"/>
      <w:marRight w:val="0"/>
      <w:marTop w:val="0"/>
      <w:marBottom w:val="0"/>
      <w:divBdr>
        <w:top w:val="none" w:sz="0" w:space="0" w:color="auto"/>
        <w:left w:val="none" w:sz="0" w:space="0" w:color="auto"/>
        <w:bottom w:val="none" w:sz="0" w:space="0" w:color="auto"/>
        <w:right w:val="none" w:sz="0" w:space="0" w:color="auto"/>
      </w:divBdr>
    </w:div>
    <w:div w:id="1018193819">
      <w:bodyDiv w:val="1"/>
      <w:marLeft w:val="0"/>
      <w:marRight w:val="0"/>
      <w:marTop w:val="0"/>
      <w:marBottom w:val="0"/>
      <w:divBdr>
        <w:top w:val="none" w:sz="0" w:space="0" w:color="auto"/>
        <w:left w:val="none" w:sz="0" w:space="0" w:color="auto"/>
        <w:bottom w:val="none" w:sz="0" w:space="0" w:color="auto"/>
        <w:right w:val="none" w:sz="0" w:space="0" w:color="auto"/>
      </w:divBdr>
    </w:div>
    <w:div w:id="1030834619">
      <w:bodyDiv w:val="1"/>
      <w:marLeft w:val="0"/>
      <w:marRight w:val="0"/>
      <w:marTop w:val="0"/>
      <w:marBottom w:val="0"/>
      <w:divBdr>
        <w:top w:val="none" w:sz="0" w:space="0" w:color="auto"/>
        <w:left w:val="none" w:sz="0" w:space="0" w:color="auto"/>
        <w:bottom w:val="none" w:sz="0" w:space="0" w:color="auto"/>
        <w:right w:val="none" w:sz="0" w:space="0" w:color="auto"/>
      </w:divBdr>
      <w:divsChild>
        <w:div w:id="968707910">
          <w:marLeft w:val="0"/>
          <w:marRight w:val="0"/>
          <w:marTop w:val="0"/>
          <w:marBottom w:val="0"/>
          <w:divBdr>
            <w:top w:val="none" w:sz="0" w:space="0" w:color="auto"/>
            <w:left w:val="none" w:sz="0" w:space="0" w:color="auto"/>
            <w:bottom w:val="none" w:sz="0" w:space="0" w:color="auto"/>
            <w:right w:val="none" w:sz="0" w:space="0" w:color="auto"/>
          </w:divBdr>
          <w:divsChild>
            <w:div w:id="421032903">
              <w:marLeft w:val="0"/>
              <w:marRight w:val="0"/>
              <w:marTop w:val="0"/>
              <w:marBottom w:val="0"/>
              <w:divBdr>
                <w:top w:val="none" w:sz="0" w:space="0" w:color="auto"/>
                <w:left w:val="none" w:sz="0" w:space="0" w:color="auto"/>
                <w:bottom w:val="none" w:sz="0" w:space="0" w:color="auto"/>
                <w:right w:val="none" w:sz="0" w:space="0" w:color="auto"/>
              </w:divBdr>
              <w:divsChild>
                <w:div w:id="586774033">
                  <w:marLeft w:val="0"/>
                  <w:marRight w:val="0"/>
                  <w:marTop w:val="0"/>
                  <w:marBottom w:val="0"/>
                  <w:divBdr>
                    <w:top w:val="none" w:sz="0" w:space="0" w:color="auto"/>
                    <w:left w:val="none" w:sz="0" w:space="0" w:color="auto"/>
                    <w:bottom w:val="none" w:sz="0" w:space="0" w:color="auto"/>
                    <w:right w:val="none" w:sz="0" w:space="0" w:color="auto"/>
                  </w:divBdr>
                  <w:divsChild>
                    <w:div w:id="982075922">
                      <w:marLeft w:val="0"/>
                      <w:marRight w:val="0"/>
                      <w:marTop w:val="0"/>
                      <w:marBottom w:val="0"/>
                      <w:divBdr>
                        <w:top w:val="none" w:sz="0" w:space="0" w:color="auto"/>
                        <w:left w:val="none" w:sz="0" w:space="0" w:color="auto"/>
                        <w:bottom w:val="none" w:sz="0" w:space="0" w:color="auto"/>
                        <w:right w:val="none" w:sz="0" w:space="0" w:color="auto"/>
                      </w:divBdr>
                      <w:divsChild>
                        <w:div w:id="1109817941">
                          <w:marLeft w:val="0"/>
                          <w:marRight w:val="0"/>
                          <w:marTop w:val="0"/>
                          <w:marBottom w:val="0"/>
                          <w:divBdr>
                            <w:top w:val="none" w:sz="0" w:space="0" w:color="auto"/>
                            <w:left w:val="none" w:sz="0" w:space="0" w:color="auto"/>
                            <w:bottom w:val="none" w:sz="0" w:space="0" w:color="auto"/>
                            <w:right w:val="none" w:sz="0" w:space="0" w:color="auto"/>
                          </w:divBdr>
                          <w:divsChild>
                            <w:div w:id="1568177786">
                              <w:marLeft w:val="0"/>
                              <w:marRight w:val="0"/>
                              <w:marTop w:val="0"/>
                              <w:marBottom w:val="0"/>
                              <w:divBdr>
                                <w:top w:val="none" w:sz="0" w:space="0" w:color="auto"/>
                                <w:left w:val="none" w:sz="0" w:space="0" w:color="auto"/>
                                <w:bottom w:val="none" w:sz="0" w:space="0" w:color="auto"/>
                                <w:right w:val="none" w:sz="0" w:space="0" w:color="auto"/>
                              </w:divBdr>
                              <w:divsChild>
                                <w:div w:id="103497565">
                                  <w:marLeft w:val="0"/>
                                  <w:marRight w:val="0"/>
                                  <w:marTop w:val="0"/>
                                  <w:marBottom w:val="0"/>
                                  <w:divBdr>
                                    <w:top w:val="none" w:sz="0" w:space="0" w:color="auto"/>
                                    <w:left w:val="none" w:sz="0" w:space="0" w:color="auto"/>
                                    <w:bottom w:val="none" w:sz="0" w:space="0" w:color="auto"/>
                                    <w:right w:val="none" w:sz="0" w:space="0" w:color="auto"/>
                                  </w:divBdr>
                                  <w:divsChild>
                                    <w:div w:id="376127683">
                                      <w:marLeft w:val="0"/>
                                      <w:marRight w:val="0"/>
                                      <w:marTop w:val="0"/>
                                      <w:marBottom w:val="0"/>
                                      <w:divBdr>
                                        <w:top w:val="none" w:sz="0" w:space="0" w:color="auto"/>
                                        <w:left w:val="none" w:sz="0" w:space="0" w:color="auto"/>
                                        <w:bottom w:val="none" w:sz="0" w:space="0" w:color="auto"/>
                                        <w:right w:val="none" w:sz="0" w:space="0" w:color="auto"/>
                                      </w:divBdr>
                                      <w:divsChild>
                                        <w:div w:id="1086462108">
                                          <w:marLeft w:val="0"/>
                                          <w:marRight w:val="0"/>
                                          <w:marTop w:val="0"/>
                                          <w:marBottom w:val="0"/>
                                          <w:divBdr>
                                            <w:top w:val="none" w:sz="0" w:space="0" w:color="auto"/>
                                            <w:left w:val="none" w:sz="0" w:space="0" w:color="auto"/>
                                            <w:bottom w:val="none" w:sz="0" w:space="0" w:color="auto"/>
                                            <w:right w:val="none" w:sz="0" w:space="0" w:color="auto"/>
                                          </w:divBdr>
                                          <w:divsChild>
                                            <w:div w:id="480928183">
                                              <w:marLeft w:val="0"/>
                                              <w:marRight w:val="0"/>
                                              <w:marTop w:val="0"/>
                                              <w:marBottom w:val="0"/>
                                              <w:divBdr>
                                                <w:top w:val="none" w:sz="0" w:space="0" w:color="auto"/>
                                                <w:left w:val="none" w:sz="0" w:space="0" w:color="auto"/>
                                                <w:bottom w:val="none" w:sz="0" w:space="0" w:color="auto"/>
                                                <w:right w:val="none" w:sz="0" w:space="0" w:color="auto"/>
                                              </w:divBdr>
                                              <w:divsChild>
                                                <w:div w:id="1122260775">
                                                  <w:marLeft w:val="0"/>
                                                  <w:marRight w:val="0"/>
                                                  <w:marTop w:val="0"/>
                                                  <w:marBottom w:val="0"/>
                                                  <w:divBdr>
                                                    <w:top w:val="none" w:sz="0" w:space="0" w:color="auto"/>
                                                    <w:left w:val="none" w:sz="0" w:space="0" w:color="auto"/>
                                                    <w:bottom w:val="none" w:sz="0" w:space="0" w:color="auto"/>
                                                    <w:right w:val="none" w:sz="0" w:space="0" w:color="auto"/>
                                                  </w:divBdr>
                                                  <w:divsChild>
                                                    <w:div w:id="222521770">
                                                      <w:marLeft w:val="0"/>
                                                      <w:marRight w:val="0"/>
                                                      <w:marTop w:val="0"/>
                                                      <w:marBottom w:val="0"/>
                                                      <w:divBdr>
                                                        <w:top w:val="none" w:sz="0" w:space="0" w:color="auto"/>
                                                        <w:left w:val="none" w:sz="0" w:space="0" w:color="auto"/>
                                                        <w:bottom w:val="none" w:sz="0" w:space="0" w:color="auto"/>
                                                        <w:right w:val="none" w:sz="0" w:space="0" w:color="auto"/>
                                                      </w:divBdr>
                                                      <w:divsChild>
                                                        <w:div w:id="89943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82549">
                          <w:marLeft w:val="0"/>
                          <w:marRight w:val="0"/>
                          <w:marTop w:val="0"/>
                          <w:marBottom w:val="0"/>
                          <w:divBdr>
                            <w:top w:val="none" w:sz="0" w:space="0" w:color="auto"/>
                            <w:left w:val="none" w:sz="0" w:space="0" w:color="auto"/>
                            <w:bottom w:val="none" w:sz="0" w:space="0" w:color="auto"/>
                            <w:right w:val="none" w:sz="0" w:space="0" w:color="auto"/>
                          </w:divBdr>
                          <w:divsChild>
                            <w:div w:id="444538882">
                              <w:marLeft w:val="0"/>
                              <w:marRight w:val="0"/>
                              <w:marTop w:val="0"/>
                              <w:marBottom w:val="0"/>
                              <w:divBdr>
                                <w:top w:val="none" w:sz="0" w:space="0" w:color="auto"/>
                                <w:left w:val="none" w:sz="0" w:space="0" w:color="auto"/>
                                <w:bottom w:val="none" w:sz="0" w:space="0" w:color="auto"/>
                                <w:right w:val="none" w:sz="0" w:space="0" w:color="auto"/>
                              </w:divBdr>
                              <w:divsChild>
                                <w:div w:id="368459804">
                                  <w:marLeft w:val="0"/>
                                  <w:marRight w:val="0"/>
                                  <w:marTop w:val="0"/>
                                  <w:marBottom w:val="0"/>
                                  <w:divBdr>
                                    <w:top w:val="none" w:sz="0" w:space="0" w:color="auto"/>
                                    <w:left w:val="none" w:sz="0" w:space="0" w:color="auto"/>
                                    <w:bottom w:val="none" w:sz="0" w:space="0" w:color="auto"/>
                                    <w:right w:val="none" w:sz="0" w:space="0" w:color="auto"/>
                                  </w:divBdr>
                                  <w:divsChild>
                                    <w:div w:id="106306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3327874">
      <w:bodyDiv w:val="1"/>
      <w:marLeft w:val="0"/>
      <w:marRight w:val="0"/>
      <w:marTop w:val="0"/>
      <w:marBottom w:val="0"/>
      <w:divBdr>
        <w:top w:val="none" w:sz="0" w:space="0" w:color="auto"/>
        <w:left w:val="none" w:sz="0" w:space="0" w:color="auto"/>
        <w:bottom w:val="none" w:sz="0" w:space="0" w:color="auto"/>
        <w:right w:val="none" w:sz="0" w:space="0" w:color="auto"/>
      </w:divBdr>
    </w:div>
    <w:div w:id="1119910091">
      <w:bodyDiv w:val="1"/>
      <w:marLeft w:val="0"/>
      <w:marRight w:val="0"/>
      <w:marTop w:val="0"/>
      <w:marBottom w:val="0"/>
      <w:divBdr>
        <w:top w:val="none" w:sz="0" w:space="0" w:color="auto"/>
        <w:left w:val="none" w:sz="0" w:space="0" w:color="auto"/>
        <w:bottom w:val="none" w:sz="0" w:space="0" w:color="auto"/>
        <w:right w:val="none" w:sz="0" w:space="0" w:color="auto"/>
      </w:divBdr>
    </w:div>
    <w:div w:id="1192718475">
      <w:bodyDiv w:val="1"/>
      <w:marLeft w:val="0"/>
      <w:marRight w:val="0"/>
      <w:marTop w:val="0"/>
      <w:marBottom w:val="0"/>
      <w:divBdr>
        <w:top w:val="none" w:sz="0" w:space="0" w:color="auto"/>
        <w:left w:val="none" w:sz="0" w:space="0" w:color="auto"/>
        <w:bottom w:val="none" w:sz="0" w:space="0" w:color="auto"/>
        <w:right w:val="none" w:sz="0" w:space="0" w:color="auto"/>
      </w:divBdr>
    </w:div>
    <w:div w:id="1220483484">
      <w:bodyDiv w:val="1"/>
      <w:marLeft w:val="0"/>
      <w:marRight w:val="0"/>
      <w:marTop w:val="0"/>
      <w:marBottom w:val="0"/>
      <w:divBdr>
        <w:top w:val="none" w:sz="0" w:space="0" w:color="auto"/>
        <w:left w:val="none" w:sz="0" w:space="0" w:color="auto"/>
        <w:bottom w:val="none" w:sz="0" w:space="0" w:color="auto"/>
        <w:right w:val="none" w:sz="0" w:space="0" w:color="auto"/>
      </w:divBdr>
    </w:div>
    <w:div w:id="1276792040">
      <w:bodyDiv w:val="1"/>
      <w:marLeft w:val="0"/>
      <w:marRight w:val="0"/>
      <w:marTop w:val="0"/>
      <w:marBottom w:val="0"/>
      <w:divBdr>
        <w:top w:val="none" w:sz="0" w:space="0" w:color="auto"/>
        <w:left w:val="none" w:sz="0" w:space="0" w:color="auto"/>
        <w:bottom w:val="none" w:sz="0" w:space="0" w:color="auto"/>
        <w:right w:val="none" w:sz="0" w:space="0" w:color="auto"/>
      </w:divBdr>
    </w:div>
    <w:div w:id="1461342180">
      <w:bodyDiv w:val="1"/>
      <w:marLeft w:val="0"/>
      <w:marRight w:val="0"/>
      <w:marTop w:val="0"/>
      <w:marBottom w:val="0"/>
      <w:divBdr>
        <w:top w:val="none" w:sz="0" w:space="0" w:color="auto"/>
        <w:left w:val="none" w:sz="0" w:space="0" w:color="auto"/>
        <w:bottom w:val="none" w:sz="0" w:space="0" w:color="auto"/>
        <w:right w:val="none" w:sz="0" w:space="0" w:color="auto"/>
      </w:divBdr>
    </w:div>
    <w:div w:id="1564219297">
      <w:bodyDiv w:val="1"/>
      <w:marLeft w:val="0"/>
      <w:marRight w:val="0"/>
      <w:marTop w:val="0"/>
      <w:marBottom w:val="0"/>
      <w:divBdr>
        <w:top w:val="none" w:sz="0" w:space="0" w:color="auto"/>
        <w:left w:val="none" w:sz="0" w:space="0" w:color="auto"/>
        <w:bottom w:val="none" w:sz="0" w:space="0" w:color="auto"/>
        <w:right w:val="none" w:sz="0" w:space="0" w:color="auto"/>
      </w:divBdr>
    </w:div>
    <w:div w:id="1575895485">
      <w:bodyDiv w:val="1"/>
      <w:marLeft w:val="0"/>
      <w:marRight w:val="0"/>
      <w:marTop w:val="0"/>
      <w:marBottom w:val="0"/>
      <w:divBdr>
        <w:top w:val="none" w:sz="0" w:space="0" w:color="auto"/>
        <w:left w:val="none" w:sz="0" w:space="0" w:color="auto"/>
        <w:bottom w:val="none" w:sz="0" w:space="0" w:color="auto"/>
        <w:right w:val="none" w:sz="0" w:space="0" w:color="auto"/>
      </w:divBdr>
    </w:div>
    <w:div w:id="1576621489">
      <w:bodyDiv w:val="1"/>
      <w:marLeft w:val="0"/>
      <w:marRight w:val="0"/>
      <w:marTop w:val="0"/>
      <w:marBottom w:val="0"/>
      <w:divBdr>
        <w:top w:val="none" w:sz="0" w:space="0" w:color="auto"/>
        <w:left w:val="none" w:sz="0" w:space="0" w:color="auto"/>
        <w:bottom w:val="none" w:sz="0" w:space="0" w:color="auto"/>
        <w:right w:val="none" w:sz="0" w:space="0" w:color="auto"/>
      </w:divBdr>
      <w:divsChild>
        <w:div w:id="630290286">
          <w:marLeft w:val="0"/>
          <w:marRight w:val="0"/>
          <w:marTop w:val="0"/>
          <w:marBottom w:val="0"/>
          <w:divBdr>
            <w:top w:val="none" w:sz="0" w:space="0" w:color="auto"/>
            <w:left w:val="none" w:sz="0" w:space="0" w:color="auto"/>
            <w:bottom w:val="none" w:sz="0" w:space="0" w:color="auto"/>
            <w:right w:val="none" w:sz="0" w:space="0" w:color="auto"/>
          </w:divBdr>
        </w:div>
      </w:divsChild>
    </w:div>
    <w:div w:id="1580360381">
      <w:bodyDiv w:val="1"/>
      <w:marLeft w:val="0"/>
      <w:marRight w:val="0"/>
      <w:marTop w:val="0"/>
      <w:marBottom w:val="0"/>
      <w:divBdr>
        <w:top w:val="none" w:sz="0" w:space="0" w:color="auto"/>
        <w:left w:val="none" w:sz="0" w:space="0" w:color="auto"/>
        <w:bottom w:val="none" w:sz="0" w:space="0" w:color="auto"/>
        <w:right w:val="none" w:sz="0" w:space="0" w:color="auto"/>
      </w:divBdr>
    </w:div>
    <w:div w:id="1661813849">
      <w:bodyDiv w:val="1"/>
      <w:marLeft w:val="0"/>
      <w:marRight w:val="0"/>
      <w:marTop w:val="0"/>
      <w:marBottom w:val="0"/>
      <w:divBdr>
        <w:top w:val="none" w:sz="0" w:space="0" w:color="auto"/>
        <w:left w:val="none" w:sz="0" w:space="0" w:color="auto"/>
        <w:bottom w:val="none" w:sz="0" w:space="0" w:color="auto"/>
        <w:right w:val="none" w:sz="0" w:space="0" w:color="auto"/>
      </w:divBdr>
    </w:div>
    <w:div w:id="1666083242">
      <w:bodyDiv w:val="1"/>
      <w:marLeft w:val="0"/>
      <w:marRight w:val="0"/>
      <w:marTop w:val="0"/>
      <w:marBottom w:val="0"/>
      <w:divBdr>
        <w:top w:val="none" w:sz="0" w:space="0" w:color="auto"/>
        <w:left w:val="none" w:sz="0" w:space="0" w:color="auto"/>
        <w:bottom w:val="none" w:sz="0" w:space="0" w:color="auto"/>
        <w:right w:val="none" w:sz="0" w:space="0" w:color="auto"/>
      </w:divBdr>
      <w:divsChild>
        <w:div w:id="1197081943">
          <w:marLeft w:val="0"/>
          <w:marRight w:val="0"/>
          <w:marTop w:val="0"/>
          <w:marBottom w:val="0"/>
          <w:divBdr>
            <w:top w:val="none" w:sz="0" w:space="0" w:color="auto"/>
            <w:left w:val="none" w:sz="0" w:space="0" w:color="auto"/>
            <w:bottom w:val="none" w:sz="0" w:space="0" w:color="auto"/>
            <w:right w:val="none" w:sz="0" w:space="0" w:color="auto"/>
          </w:divBdr>
        </w:div>
      </w:divsChild>
    </w:div>
    <w:div w:id="1719477323">
      <w:bodyDiv w:val="1"/>
      <w:marLeft w:val="0"/>
      <w:marRight w:val="0"/>
      <w:marTop w:val="0"/>
      <w:marBottom w:val="0"/>
      <w:divBdr>
        <w:top w:val="none" w:sz="0" w:space="0" w:color="auto"/>
        <w:left w:val="none" w:sz="0" w:space="0" w:color="auto"/>
        <w:bottom w:val="none" w:sz="0" w:space="0" w:color="auto"/>
        <w:right w:val="none" w:sz="0" w:space="0" w:color="auto"/>
      </w:divBdr>
    </w:div>
    <w:div w:id="1730104259">
      <w:bodyDiv w:val="1"/>
      <w:marLeft w:val="0"/>
      <w:marRight w:val="0"/>
      <w:marTop w:val="0"/>
      <w:marBottom w:val="0"/>
      <w:divBdr>
        <w:top w:val="none" w:sz="0" w:space="0" w:color="auto"/>
        <w:left w:val="none" w:sz="0" w:space="0" w:color="auto"/>
        <w:bottom w:val="none" w:sz="0" w:space="0" w:color="auto"/>
        <w:right w:val="none" w:sz="0" w:space="0" w:color="auto"/>
      </w:divBdr>
    </w:div>
    <w:div w:id="1750080968">
      <w:bodyDiv w:val="1"/>
      <w:marLeft w:val="0"/>
      <w:marRight w:val="0"/>
      <w:marTop w:val="0"/>
      <w:marBottom w:val="0"/>
      <w:divBdr>
        <w:top w:val="none" w:sz="0" w:space="0" w:color="auto"/>
        <w:left w:val="none" w:sz="0" w:space="0" w:color="auto"/>
        <w:bottom w:val="none" w:sz="0" w:space="0" w:color="auto"/>
        <w:right w:val="none" w:sz="0" w:space="0" w:color="auto"/>
      </w:divBdr>
    </w:div>
    <w:div w:id="1758135921">
      <w:bodyDiv w:val="1"/>
      <w:marLeft w:val="0"/>
      <w:marRight w:val="0"/>
      <w:marTop w:val="0"/>
      <w:marBottom w:val="0"/>
      <w:divBdr>
        <w:top w:val="none" w:sz="0" w:space="0" w:color="auto"/>
        <w:left w:val="none" w:sz="0" w:space="0" w:color="auto"/>
        <w:bottom w:val="none" w:sz="0" w:space="0" w:color="auto"/>
        <w:right w:val="none" w:sz="0" w:space="0" w:color="auto"/>
      </w:divBdr>
    </w:div>
    <w:div w:id="1771584030">
      <w:bodyDiv w:val="1"/>
      <w:marLeft w:val="0"/>
      <w:marRight w:val="0"/>
      <w:marTop w:val="0"/>
      <w:marBottom w:val="0"/>
      <w:divBdr>
        <w:top w:val="none" w:sz="0" w:space="0" w:color="auto"/>
        <w:left w:val="none" w:sz="0" w:space="0" w:color="auto"/>
        <w:bottom w:val="none" w:sz="0" w:space="0" w:color="auto"/>
        <w:right w:val="none" w:sz="0" w:space="0" w:color="auto"/>
      </w:divBdr>
    </w:div>
    <w:div w:id="1837720025">
      <w:bodyDiv w:val="1"/>
      <w:marLeft w:val="0"/>
      <w:marRight w:val="0"/>
      <w:marTop w:val="0"/>
      <w:marBottom w:val="0"/>
      <w:divBdr>
        <w:top w:val="none" w:sz="0" w:space="0" w:color="auto"/>
        <w:left w:val="none" w:sz="0" w:space="0" w:color="auto"/>
        <w:bottom w:val="none" w:sz="0" w:space="0" w:color="auto"/>
        <w:right w:val="none" w:sz="0" w:space="0" w:color="auto"/>
      </w:divBdr>
    </w:div>
    <w:div w:id="1876967465">
      <w:bodyDiv w:val="1"/>
      <w:marLeft w:val="0"/>
      <w:marRight w:val="0"/>
      <w:marTop w:val="0"/>
      <w:marBottom w:val="0"/>
      <w:divBdr>
        <w:top w:val="none" w:sz="0" w:space="0" w:color="auto"/>
        <w:left w:val="none" w:sz="0" w:space="0" w:color="auto"/>
        <w:bottom w:val="none" w:sz="0" w:space="0" w:color="auto"/>
        <w:right w:val="none" w:sz="0" w:space="0" w:color="auto"/>
      </w:divBdr>
    </w:div>
    <w:div w:id="1885213926">
      <w:bodyDiv w:val="1"/>
      <w:marLeft w:val="0"/>
      <w:marRight w:val="0"/>
      <w:marTop w:val="0"/>
      <w:marBottom w:val="0"/>
      <w:divBdr>
        <w:top w:val="none" w:sz="0" w:space="0" w:color="auto"/>
        <w:left w:val="none" w:sz="0" w:space="0" w:color="auto"/>
        <w:bottom w:val="none" w:sz="0" w:space="0" w:color="auto"/>
        <w:right w:val="none" w:sz="0" w:space="0" w:color="auto"/>
      </w:divBdr>
      <w:divsChild>
        <w:div w:id="428353091">
          <w:marLeft w:val="0"/>
          <w:marRight w:val="0"/>
          <w:marTop w:val="0"/>
          <w:marBottom w:val="0"/>
          <w:divBdr>
            <w:top w:val="none" w:sz="0" w:space="0" w:color="auto"/>
            <w:left w:val="none" w:sz="0" w:space="0" w:color="auto"/>
            <w:bottom w:val="none" w:sz="0" w:space="0" w:color="auto"/>
            <w:right w:val="none" w:sz="0" w:space="0" w:color="auto"/>
          </w:divBdr>
        </w:div>
      </w:divsChild>
    </w:div>
    <w:div w:id="1916743593">
      <w:bodyDiv w:val="1"/>
      <w:marLeft w:val="0"/>
      <w:marRight w:val="0"/>
      <w:marTop w:val="0"/>
      <w:marBottom w:val="0"/>
      <w:divBdr>
        <w:top w:val="none" w:sz="0" w:space="0" w:color="auto"/>
        <w:left w:val="none" w:sz="0" w:space="0" w:color="auto"/>
        <w:bottom w:val="none" w:sz="0" w:space="0" w:color="auto"/>
        <w:right w:val="none" w:sz="0" w:space="0" w:color="auto"/>
      </w:divBdr>
      <w:divsChild>
        <w:div w:id="291643467">
          <w:marLeft w:val="0"/>
          <w:marRight w:val="0"/>
          <w:marTop w:val="0"/>
          <w:marBottom w:val="0"/>
          <w:divBdr>
            <w:top w:val="none" w:sz="0" w:space="0" w:color="auto"/>
            <w:left w:val="none" w:sz="0" w:space="0" w:color="auto"/>
            <w:bottom w:val="none" w:sz="0" w:space="0" w:color="auto"/>
            <w:right w:val="none" w:sz="0" w:space="0" w:color="auto"/>
          </w:divBdr>
        </w:div>
      </w:divsChild>
    </w:div>
    <w:div w:id="1917008616">
      <w:bodyDiv w:val="1"/>
      <w:marLeft w:val="0"/>
      <w:marRight w:val="0"/>
      <w:marTop w:val="0"/>
      <w:marBottom w:val="0"/>
      <w:divBdr>
        <w:top w:val="none" w:sz="0" w:space="0" w:color="auto"/>
        <w:left w:val="none" w:sz="0" w:space="0" w:color="auto"/>
        <w:bottom w:val="none" w:sz="0" w:space="0" w:color="auto"/>
        <w:right w:val="none" w:sz="0" w:space="0" w:color="auto"/>
      </w:divBdr>
      <w:divsChild>
        <w:div w:id="1787768488">
          <w:marLeft w:val="0"/>
          <w:marRight w:val="0"/>
          <w:marTop w:val="0"/>
          <w:marBottom w:val="0"/>
          <w:divBdr>
            <w:top w:val="none" w:sz="0" w:space="0" w:color="auto"/>
            <w:left w:val="none" w:sz="0" w:space="0" w:color="auto"/>
            <w:bottom w:val="none" w:sz="0" w:space="0" w:color="auto"/>
            <w:right w:val="none" w:sz="0" w:space="0" w:color="auto"/>
          </w:divBdr>
        </w:div>
      </w:divsChild>
    </w:div>
    <w:div w:id="1933471879">
      <w:bodyDiv w:val="1"/>
      <w:marLeft w:val="0"/>
      <w:marRight w:val="0"/>
      <w:marTop w:val="0"/>
      <w:marBottom w:val="0"/>
      <w:divBdr>
        <w:top w:val="none" w:sz="0" w:space="0" w:color="auto"/>
        <w:left w:val="none" w:sz="0" w:space="0" w:color="auto"/>
        <w:bottom w:val="none" w:sz="0" w:space="0" w:color="auto"/>
        <w:right w:val="none" w:sz="0" w:space="0" w:color="auto"/>
      </w:divBdr>
      <w:divsChild>
        <w:div w:id="660230256">
          <w:marLeft w:val="0"/>
          <w:marRight w:val="0"/>
          <w:marTop w:val="0"/>
          <w:marBottom w:val="0"/>
          <w:divBdr>
            <w:top w:val="none" w:sz="0" w:space="0" w:color="auto"/>
            <w:left w:val="none" w:sz="0" w:space="0" w:color="auto"/>
            <w:bottom w:val="none" w:sz="0" w:space="0" w:color="auto"/>
            <w:right w:val="none" w:sz="0" w:space="0" w:color="auto"/>
          </w:divBdr>
        </w:div>
      </w:divsChild>
    </w:div>
    <w:div w:id="1957102299">
      <w:bodyDiv w:val="1"/>
      <w:marLeft w:val="0"/>
      <w:marRight w:val="0"/>
      <w:marTop w:val="0"/>
      <w:marBottom w:val="0"/>
      <w:divBdr>
        <w:top w:val="none" w:sz="0" w:space="0" w:color="auto"/>
        <w:left w:val="none" w:sz="0" w:space="0" w:color="auto"/>
        <w:bottom w:val="none" w:sz="0" w:space="0" w:color="auto"/>
        <w:right w:val="none" w:sz="0" w:space="0" w:color="auto"/>
      </w:divBdr>
    </w:div>
    <w:div w:id="1992707904">
      <w:bodyDiv w:val="1"/>
      <w:marLeft w:val="0"/>
      <w:marRight w:val="0"/>
      <w:marTop w:val="0"/>
      <w:marBottom w:val="0"/>
      <w:divBdr>
        <w:top w:val="none" w:sz="0" w:space="0" w:color="auto"/>
        <w:left w:val="none" w:sz="0" w:space="0" w:color="auto"/>
        <w:bottom w:val="none" w:sz="0" w:space="0" w:color="auto"/>
        <w:right w:val="none" w:sz="0" w:space="0" w:color="auto"/>
      </w:divBdr>
      <w:divsChild>
        <w:div w:id="1983268425">
          <w:marLeft w:val="0"/>
          <w:marRight w:val="0"/>
          <w:marTop w:val="0"/>
          <w:marBottom w:val="0"/>
          <w:divBdr>
            <w:top w:val="none" w:sz="0" w:space="0" w:color="auto"/>
            <w:left w:val="none" w:sz="0" w:space="0" w:color="auto"/>
            <w:bottom w:val="none" w:sz="0" w:space="0" w:color="auto"/>
            <w:right w:val="none" w:sz="0" w:space="0" w:color="auto"/>
          </w:divBdr>
        </w:div>
      </w:divsChild>
    </w:div>
    <w:div w:id="2008634324">
      <w:bodyDiv w:val="1"/>
      <w:marLeft w:val="0"/>
      <w:marRight w:val="0"/>
      <w:marTop w:val="0"/>
      <w:marBottom w:val="0"/>
      <w:divBdr>
        <w:top w:val="none" w:sz="0" w:space="0" w:color="auto"/>
        <w:left w:val="none" w:sz="0" w:space="0" w:color="auto"/>
        <w:bottom w:val="none" w:sz="0" w:space="0" w:color="auto"/>
        <w:right w:val="none" w:sz="0" w:space="0" w:color="auto"/>
      </w:divBdr>
    </w:div>
    <w:div w:id="2046784274">
      <w:bodyDiv w:val="1"/>
      <w:marLeft w:val="0"/>
      <w:marRight w:val="0"/>
      <w:marTop w:val="0"/>
      <w:marBottom w:val="0"/>
      <w:divBdr>
        <w:top w:val="none" w:sz="0" w:space="0" w:color="auto"/>
        <w:left w:val="none" w:sz="0" w:space="0" w:color="auto"/>
        <w:bottom w:val="none" w:sz="0" w:space="0" w:color="auto"/>
        <w:right w:val="none" w:sz="0" w:space="0" w:color="auto"/>
      </w:divBdr>
    </w:div>
    <w:div w:id="2063167772">
      <w:bodyDiv w:val="1"/>
      <w:marLeft w:val="0"/>
      <w:marRight w:val="0"/>
      <w:marTop w:val="0"/>
      <w:marBottom w:val="0"/>
      <w:divBdr>
        <w:top w:val="none" w:sz="0" w:space="0" w:color="auto"/>
        <w:left w:val="none" w:sz="0" w:space="0" w:color="auto"/>
        <w:bottom w:val="none" w:sz="0" w:space="0" w:color="auto"/>
        <w:right w:val="none" w:sz="0" w:space="0" w:color="auto"/>
      </w:divBdr>
    </w:div>
    <w:div w:id="2079014237">
      <w:bodyDiv w:val="1"/>
      <w:marLeft w:val="0"/>
      <w:marRight w:val="0"/>
      <w:marTop w:val="0"/>
      <w:marBottom w:val="0"/>
      <w:divBdr>
        <w:top w:val="none" w:sz="0" w:space="0" w:color="auto"/>
        <w:left w:val="none" w:sz="0" w:space="0" w:color="auto"/>
        <w:bottom w:val="none" w:sz="0" w:space="0" w:color="auto"/>
        <w:right w:val="none" w:sz="0" w:space="0" w:color="auto"/>
      </w:divBdr>
    </w:div>
    <w:div w:id="2100639051">
      <w:bodyDiv w:val="1"/>
      <w:marLeft w:val="0"/>
      <w:marRight w:val="0"/>
      <w:marTop w:val="0"/>
      <w:marBottom w:val="0"/>
      <w:divBdr>
        <w:top w:val="none" w:sz="0" w:space="0" w:color="auto"/>
        <w:left w:val="none" w:sz="0" w:space="0" w:color="auto"/>
        <w:bottom w:val="none" w:sz="0" w:space="0" w:color="auto"/>
        <w:right w:val="none" w:sz="0" w:space="0" w:color="auto"/>
      </w:divBdr>
    </w:div>
    <w:div w:id="213000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15657-3A0C-4056-86D0-60574DB3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6561</Words>
  <Characters>39368</Characters>
  <Application>Microsoft Office Word</Application>
  <DocSecurity>4</DocSecurity>
  <Lines>328</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Łukasiak Przemysław</dc:creator>
  <cp:keywords/>
  <dc:description/>
  <cp:lastModifiedBy>Pietrzak Ewa</cp:lastModifiedBy>
  <cp:revision>2</cp:revision>
  <dcterms:created xsi:type="dcterms:W3CDTF">2026-09-15T12:59:00Z</dcterms:created>
  <dcterms:modified xsi:type="dcterms:W3CDTF">2026-09-15T12:59:00Z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UxC4dwLulzfINJ8nQH+xvX5LNGipWa4BRSZhPgxsCvmx7LDRMDpdKVzclJjFArwClUXFcPwx7ctURCasBUobKw==</vt:lpwstr>
  </property>
  <property fmtid="{D5CDD505-2E9C-101B-9397-08002B2CF9AE}" pid="4" name="MFClassificationDate">
    <vt:lpwstr>2026-05-05T13:26:11.7625447+02:00</vt:lpwstr>
  </property>
  <property fmtid="{D5CDD505-2E9C-101B-9397-08002B2CF9AE}" pid="5" name="MFClassifiedBySID">
    <vt:lpwstr>UxC4dwLulzfINJ8nQH+xvX5LNGipWa4BRSZhPgxsCvm42mrIC/DSDv0ggS+FjUN/2v1BBotkLlY5aAiEhoi6uX4+Phxari2j7KLYDzedEu9zDPRApm1gLsLZ8Pkx8qfx</vt:lpwstr>
  </property>
  <property fmtid="{D5CDD505-2E9C-101B-9397-08002B2CF9AE}" pid="6" name="MFGRNItemId">
    <vt:lpwstr>GRN-f87b70f7-6a83-41a4-98f7-3f185cbfe698</vt:lpwstr>
  </property>
  <property fmtid="{D5CDD505-2E9C-101B-9397-08002B2CF9AE}" pid="7" name="MFHash">
    <vt:lpwstr>05UrGe/BWY/swig2R0Q5goKnrk+YxWRrzioL70aauNI=</vt:lpwstr>
  </property>
  <property fmtid="{D5CDD505-2E9C-101B-9397-08002B2CF9AE}" pid="8" name="MFVisualMarkingsSettings">
    <vt:lpwstr>HeaderAlignment=1;FooterAlignment=1</vt:lpwstr>
  </property>
  <property fmtid="{D5CDD505-2E9C-101B-9397-08002B2CF9AE}" pid="9" name="DLPManualFileClassification">
    <vt:lpwstr>{2755b7d9-e53d-4779-a40c-03797dcf43b3}</vt:lpwstr>
  </property>
  <property fmtid="{D5CDD505-2E9C-101B-9397-08002B2CF9AE}" pid="10" name="MFRefresh">
    <vt:lpwstr>False</vt:lpwstr>
  </property>
</Properties>
</file>