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CACED" w14:textId="2C21491A" w:rsidR="005047EB" w:rsidRPr="00B521BC" w:rsidRDefault="005047EB" w:rsidP="00B521BC">
      <w:pPr>
        <w:pStyle w:val="Nagwek1"/>
        <w:suppressAutoHyphens/>
        <w:spacing w:before="120" w:after="0" w:line="360" w:lineRule="auto"/>
        <w:jc w:val="right"/>
        <w:rPr>
          <w:rFonts w:ascii="Times New Roman" w:hAnsi="Times New Roman" w:cstheme="minorHAnsi"/>
          <w:b/>
          <w:bCs/>
          <w:sz w:val="24"/>
          <w:szCs w:val="22"/>
        </w:rPr>
      </w:pPr>
    </w:p>
    <w:p w14:paraId="0D72DEBC" w14:textId="77777777" w:rsidR="005047EB" w:rsidRPr="00B521BC" w:rsidRDefault="005047EB" w:rsidP="00B521BC">
      <w:pPr>
        <w:pStyle w:val="Nagwek1"/>
        <w:suppressAutoHyphens/>
        <w:spacing w:before="120" w:after="0" w:line="360" w:lineRule="auto"/>
        <w:jc w:val="center"/>
        <w:rPr>
          <w:rFonts w:ascii="Times New Roman" w:hAnsi="Times New Roman" w:cstheme="minorHAnsi"/>
          <w:sz w:val="24"/>
          <w:szCs w:val="22"/>
        </w:rPr>
      </w:pPr>
      <w:r w:rsidRPr="00B521BC">
        <w:rPr>
          <w:rFonts w:ascii="Times New Roman" w:hAnsi="Times New Roman" w:cstheme="minorHAnsi"/>
          <w:sz w:val="24"/>
          <w:szCs w:val="22"/>
        </w:rPr>
        <w:t>UZASADNIENIE</w:t>
      </w:r>
    </w:p>
    <w:p w14:paraId="536CB234" w14:textId="77777777" w:rsidR="005047EB" w:rsidRPr="00B521BC" w:rsidRDefault="005047EB" w:rsidP="00B521BC">
      <w:pPr>
        <w:keepNext/>
        <w:keepLines/>
        <w:numPr>
          <w:ilvl w:val="0"/>
          <w:numId w:val="1"/>
        </w:numPr>
        <w:suppressAutoHyphens/>
        <w:spacing w:before="120" w:line="360" w:lineRule="auto"/>
        <w:ind w:left="714" w:hanging="357"/>
        <w:jc w:val="both"/>
        <w:rPr>
          <w:rFonts w:cstheme="minorHAnsi"/>
          <w:b/>
          <w:szCs w:val="22"/>
        </w:rPr>
      </w:pPr>
      <w:r w:rsidRPr="00B521BC">
        <w:rPr>
          <w:rFonts w:cstheme="minorHAnsi"/>
          <w:b/>
          <w:szCs w:val="22"/>
        </w:rPr>
        <w:t>Potrzeba i cel związania Rzeczypospolitej Polskiej Umową</w:t>
      </w:r>
    </w:p>
    <w:p w14:paraId="0BFD5A92" w14:textId="2E65E790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szCs w:val="22"/>
        </w:rPr>
      </w:pPr>
      <w:r w:rsidRPr="00B521BC">
        <w:rPr>
          <w:rFonts w:cstheme="minorHAnsi"/>
          <w:szCs w:val="22"/>
        </w:rPr>
        <w:t>W stosunkach między Rzecząpospolitą Polską (dalej: Polska) a Republiką Filipin (dalej: Filipiny) brak jest umowy regulującej problematykę współpracy prawnej w sprawach karnych, a</w:t>
      </w:r>
      <w:r>
        <w:t> </w:t>
      </w:r>
      <w:r w:rsidRPr="00B521BC">
        <w:rPr>
          <w:rFonts w:cstheme="minorHAnsi"/>
          <w:szCs w:val="22"/>
        </w:rPr>
        <w:t xml:space="preserve">dotychczasową współpracę, w szczególności w zakresie przekazywania osób skazanych, prowadzoną w oparciu o zasadę wzajemności i </w:t>
      </w:r>
      <w:r w:rsidRPr="00B521BC">
        <w:rPr>
          <w:rFonts w:cstheme="minorHAnsi"/>
          <w:color w:val="000000"/>
          <w:szCs w:val="22"/>
        </w:rPr>
        <w:t xml:space="preserve">przepisy ustawy z dnia 6 czerwca 1997 r. </w:t>
      </w:r>
      <w:r>
        <w:rPr>
          <w:rFonts w:cstheme="minorHAnsi"/>
          <w:color w:val="000000"/>
          <w:szCs w:val="22"/>
        </w:rPr>
        <w:t xml:space="preserve">– </w:t>
      </w:r>
      <w:r w:rsidRPr="00B521BC">
        <w:rPr>
          <w:rFonts w:cstheme="minorHAnsi"/>
          <w:color w:val="000000"/>
          <w:szCs w:val="22"/>
        </w:rPr>
        <w:t>Kodeks postępowania karnego (Dz. U. z 2026 r. poz. 490</w:t>
      </w:r>
      <w:r>
        <w:rPr>
          <w:rFonts w:cstheme="minorHAnsi"/>
          <w:color w:val="000000"/>
          <w:szCs w:val="22"/>
        </w:rPr>
        <w:t>,</w:t>
      </w:r>
      <w:r w:rsidRPr="00B521BC">
        <w:rPr>
          <w:rFonts w:cstheme="minorHAnsi"/>
          <w:color w:val="000000"/>
          <w:szCs w:val="22"/>
        </w:rPr>
        <w:t xml:space="preserve"> z późn. zm.)</w:t>
      </w:r>
      <w:r>
        <w:rPr>
          <w:rFonts w:cstheme="minorHAnsi"/>
          <w:color w:val="000000"/>
          <w:szCs w:val="22"/>
        </w:rPr>
        <w:t>,</w:t>
      </w:r>
      <w:r w:rsidRPr="00B521BC">
        <w:rPr>
          <w:rFonts w:cstheme="minorHAnsi"/>
          <w:color w:val="000000"/>
          <w:szCs w:val="22"/>
        </w:rPr>
        <w:t xml:space="preserve"> </w:t>
      </w:r>
      <w:r w:rsidRPr="00277E11">
        <w:rPr>
          <w:rFonts w:cstheme="minorHAnsi"/>
          <w:color w:val="000000"/>
          <w:szCs w:val="22"/>
        </w:rPr>
        <w:t>dalej: kpk</w:t>
      </w:r>
      <w:r>
        <w:rPr>
          <w:rFonts w:cstheme="minorHAnsi"/>
          <w:color w:val="000000"/>
          <w:szCs w:val="22"/>
        </w:rPr>
        <w:t>,</w:t>
      </w:r>
      <w:r w:rsidRPr="00277E11">
        <w:rPr>
          <w:rFonts w:cstheme="minorHAnsi"/>
          <w:color w:val="000000"/>
          <w:szCs w:val="22"/>
        </w:rPr>
        <w:t xml:space="preserve"> </w:t>
      </w:r>
      <w:r w:rsidRPr="00B521BC">
        <w:rPr>
          <w:rFonts w:cstheme="minorHAnsi"/>
          <w:szCs w:val="22"/>
        </w:rPr>
        <w:t xml:space="preserve">uznać należy za nieefektywną. </w:t>
      </w:r>
    </w:p>
    <w:p w14:paraId="1188592D" w14:textId="1498A8CD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szCs w:val="22"/>
        </w:rPr>
      </w:pPr>
      <w:r w:rsidRPr="00B521BC">
        <w:rPr>
          <w:rFonts w:cstheme="minorHAnsi"/>
          <w:color w:val="000000"/>
          <w:szCs w:val="22"/>
        </w:rPr>
        <w:t xml:space="preserve">Umowa między Rzecząpospolitą Polską a </w:t>
      </w:r>
      <w:r w:rsidRPr="00B521BC">
        <w:rPr>
          <w:rFonts w:cstheme="minorHAnsi"/>
          <w:bCs/>
          <w:color w:val="000000"/>
          <w:szCs w:val="22"/>
        </w:rPr>
        <w:t>Republiką Filipin</w:t>
      </w:r>
      <w:r w:rsidRPr="00B521BC">
        <w:rPr>
          <w:rFonts w:cstheme="minorHAnsi"/>
          <w:color w:val="000000"/>
          <w:szCs w:val="22"/>
        </w:rPr>
        <w:t xml:space="preserve"> o przekazywaniu osób skazanych (dalej: Umowa) </w:t>
      </w:r>
      <w:r w:rsidRPr="00B521BC">
        <w:rPr>
          <w:rFonts w:cstheme="minorHAnsi"/>
          <w:szCs w:val="22"/>
        </w:rPr>
        <w:t xml:space="preserve">obejmuje osoby skazane na karę pozbawienia wolności oraz osoby, wobec których orzeczono środek polegający na pozbawieniu wolności, tj. w przypadku Polski </w:t>
      </w:r>
      <w:r>
        <w:rPr>
          <w:rFonts w:cstheme="minorHAnsi"/>
          <w:szCs w:val="22"/>
        </w:rPr>
        <w:t>–</w:t>
      </w:r>
      <w:r w:rsidRPr="00B521BC">
        <w:rPr>
          <w:rFonts w:cstheme="minorHAnsi"/>
          <w:szCs w:val="22"/>
        </w:rPr>
        <w:t xml:space="preserve"> środek zabezpieczający w postaci umieszczenia w szpitalu psychiatrycznym. Stąd też wnioskodawca posługuje się w uzasadnieniu terminem „osoba skazana”, w jego rozumieniu określonym </w:t>
      </w:r>
      <w:r>
        <w:rPr>
          <w:rFonts w:cstheme="minorHAnsi"/>
          <w:szCs w:val="22"/>
        </w:rPr>
        <w:br/>
      </w:r>
      <w:r w:rsidRPr="00B521BC">
        <w:rPr>
          <w:rFonts w:cstheme="minorHAnsi"/>
          <w:szCs w:val="22"/>
        </w:rPr>
        <w:t xml:space="preserve">w art. 1 pkt 3 Umowy. </w:t>
      </w:r>
    </w:p>
    <w:p w14:paraId="36D1C76C" w14:textId="77777777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szCs w:val="22"/>
        </w:rPr>
      </w:pPr>
      <w:r w:rsidRPr="00B521BC">
        <w:rPr>
          <w:rFonts w:cstheme="minorHAnsi"/>
          <w:szCs w:val="22"/>
        </w:rPr>
        <w:t xml:space="preserve">Polskie wnioski kierowane do władz filipińskich były dotychczas rozpatrywane z bardzo dużym opóźnieniem, a część z nich, mimo kolejnych monitów, pozostawała bez odpowiedzi. Potwierdzają to wielomiesięczne starania Ministerstwa Sprawiedliwości i Ministerstwa Spraw Zagranicznych o przejęcie z terytorium Filipin skazanego tam na długotrwałą karę pozbawienia wolności obywatela polskiego i umożliwienie mu odbycia jej w Polsce, które nie przyniosły oczekiwanych rezultatów. Poważne problemy we współpracy także w innych zakresach i potrzebę zawarcia dwustronnej umowy międzynarodowej regulującej przekazywanie osób skazanych wskazywały również Ambasada Rzeczypospolitej Polskiej w Kuala Lumpur (przed utworzeniem placówki w Manili odpowiedzialna za współpracę polsko-filipińską) oraz Ambasada Rzeczypospolitej Polskiej w Manili. </w:t>
      </w:r>
    </w:p>
    <w:p w14:paraId="28DC5D4B" w14:textId="3F907DEA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szCs w:val="22"/>
        </w:rPr>
      </w:pPr>
      <w:r w:rsidRPr="00B521BC">
        <w:rPr>
          <w:rFonts w:cstheme="minorHAnsi"/>
          <w:szCs w:val="22"/>
        </w:rPr>
        <w:t>Władze filipińskie stoją na stanowisku, iż zasada wzajemności i przepisy prawa krajowego obu państw nie są wystarczającą podstawą dla przekazania skazanego cudzoziemca do państwa jego obywatelstwa. Wskazują, ż</w:t>
      </w:r>
      <w:r>
        <w:rPr>
          <w:rFonts w:cstheme="minorHAnsi"/>
          <w:szCs w:val="22"/>
        </w:rPr>
        <w:t>e</w:t>
      </w:r>
      <w:r w:rsidRPr="00B521BC">
        <w:rPr>
          <w:rFonts w:cstheme="minorHAnsi"/>
          <w:szCs w:val="22"/>
        </w:rPr>
        <w:t xml:space="preserve"> byłoby to możliwe wyłącznie w oparciu o przepisy stosownej umowy międzynarodowej. Zawarcie umowy bilateralnej stanowi więc jedyny realny sposób zabezpieczenia interesów obywateli polskich skazanych na terytorium Filipin. </w:t>
      </w:r>
    </w:p>
    <w:p w14:paraId="28F3BEAB" w14:textId="152BC77D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szCs w:val="22"/>
        </w:rPr>
      </w:pPr>
      <w:r w:rsidRPr="00B521BC">
        <w:rPr>
          <w:rFonts w:cstheme="minorHAnsi"/>
          <w:szCs w:val="22"/>
        </w:rPr>
        <w:lastRenderedPageBreak/>
        <w:t xml:space="preserve">Sytuacja Polaków osadzonych w filipińskich więzieniach i instytucjach, w których przebywają sprawcy przestępstw – osoby z zaburzeniami lub chorobami psychicznymi, jest szczególnie trudna. Organizacja Narodów Zjednoczonych (ONZ) (patrz m.in. zalecenia Komitetu ONZ Przeciwko Torturom z dnia 2 czerwca 2016 r, nr dokumentu: CAT/C/PHL/CO/3 – od tej daty sytuacja nie uległa zasadniczej zmianie) wskazuje na przypadki tortur, nieludzkiego traktowania, przemocy seksualnej wśród osadzonych, krytyczne przeludnienie więzień, niezaspokojenie podstawowych potrzeb osadzonych, w tym miejsca do spania, wentylacji, odpowiedniego wyżywienia, co prowadzi do szerzenia się chorób zakaźnych, w tym gruźlicy. Ze względu na powyższe, </w:t>
      </w:r>
      <w:r>
        <w:rPr>
          <w:rFonts w:cstheme="minorHAnsi"/>
          <w:szCs w:val="22"/>
        </w:rPr>
        <w:t>a</w:t>
      </w:r>
      <w:r w:rsidRPr="00B521BC">
        <w:rPr>
          <w:rFonts w:cstheme="minorHAnsi"/>
          <w:szCs w:val="22"/>
        </w:rPr>
        <w:t xml:space="preserve">by chronić z kolei obywateli filipińskich odbywających karę w Polsce, Umowa przewidywać będzie, że osadzony może zostać przekazany jedynie za jego zgodą. </w:t>
      </w:r>
    </w:p>
    <w:p w14:paraId="29E67758" w14:textId="77777777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szCs w:val="22"/>
        </w:rPr>
      </w:pPr>
      <w:r w:rsidRPr="00B521BC">
        <w:rPr>
          <w:rFonts w:cstheme="minorHAnsi"/>
          <w:szCs w:val="22"/>
        </w:rPr>
        <w:t xml:space="preserve">Należy spodziewać się tendencji wzrostowej w liczbie wniosków stanowiących przedmiot Umowy. </w:t>
      </w:r>
      <w:r w:rsidRPr="00B521BC">
        <w:rPr>
          <w:rFonts w:cstheme="minorHAnsi"/>
          <w:szCs w:val="22"/>
        </w:rPr>
        <w:br/>
        <w:t>Z informacji Ministerstwa Spraw Zagranicznych wynika, że rośnie liczba Polaków przebywających na Filipinach zarówno turystycznie, jak i na stałe, a także liczba obywateli Filipin przebywających w Polsce i zasilających polski rynek pracy. Odpowiedzią na rozwój stosunków polsko-filipińskich była decyzja Ministra Spraw Zagranicznych o ustanowieniu dnia 2 stycznia 2018 r. Ambasady Rzeczypospolitej Polskiej w Manili (wcześniej jej funkcje realizowała Ambasada Rzeczypospolitej Polskiej w Kuala Lumpur).</w:t>
      </w:r>
    </w:p>
    <w:p w14:paraId="097D40EA" w14:textId="77777777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szCs w:val="22"/>
        </w:rPr>
      </w:pPr>
      <w:r w:rsidRPr="00B521BC">
        <w:rPr>
          <w:rFonts w:cstheme="minorHAnsi"/>
          <w:szCs w:val="22"/>
        </w:rPr>
        <w:t xml:space="preserve">Filipiny są stroną szeregu umów dwustronnych z zakresu współpracy prawnej w sprawach karnych z państwami należącymi do tzw. zachodniego kręgu prawnego, w tym z Królestwem Hiszpanii (umowy o przekazywaniu skazanych, o pomocy prawnej i o ekstradycji), Konfederacją Szwajcarską, Zjednoczonym Królestwem Wielkiej Brytanii i Irlandii Północnej, Stanami Zjednoczonymi Ameryki czy Związkiem Australijskim (umowy o pomocy prawnej i o ekstradycji). </w:t>
      </w:r>
    </w:p>
    <w:p w14:paraId="25301199" w14:textId="6A8B6365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color w:val="000000"/>
          <w:szCs w:val="22"/>
        </w:rPr>
      </w:pPr>
      <w:r w:rsidRPr="00B521BC">
        <w:rPr>
          <w:rFonts w:cstheme="minorHAnsi"/>
          <w:color w:val="000000"/>
          <w:szCs w:val="22"/>
        </w:rPr>
        <w:t xml:space="preserve">Negocjacje </w:t>
      </w:r>
      <w:r w:rsidRPr="00B521BC">
        <w:rPr>
          <w:rFonts w:cstheme="minorHAnsi"/>
          <w:bCs/>
          <w:szCs w:val="22"/>
        </w:rPr>
        <w:t>Umowy między Rzecząpospolitą Polską a Republiką Filipin o przekazywaniu osób skazanych (przepisy powołane w niniejszym uzasadnieniu bez bliższego określenia odnoszą się do Umowy)</w:t>
      </w:r>
      <w:r w:rsidRPr="00B521BC">
        <w:rPr>
          <w:rFonts w:cstheme="minorHAnsi"/>
          <w:color w:val="000000"/>
          <w:szCs w:val="22"/>
        </w:rPr>
        <w:t xml:space="preserve"> odbywały się drogą dyplomatyczną oraz w sposób bezpośredni i trwały od 2019 r. Zakończone zostały podczas spotkania zespołów negocjacyjnych w Manili w dniach 5–7 listopada 2024 r. Z uwagi na interes wymiaru sprawiedliwości oraz obywateli polskich, w szczególności osadzonych na Filipinach, którzy otrzymają realną możliwość transferu do Polski, celow</w:t>
      </w:r>
      <w:r>
        <w:rPr>
          <w:rFonts w:cstheme="minorHAnsi"/>
          <w:color w:val="000000"/>
          <w:szCs w:val="22"/>
        </w:rPr>
        <w:t>e</w:t>
      </w:r>
      <w:r w:rsidRPr="00B521BC">
        <w:rPr>
          <w:rFonts w:cstheme="minorHAnsi"/>
          <w:color w:val="000000"/>
          <w:szCs w:val="22"/>
        </w:rPr>
        <w:t xml:space="preserve"> jest doprowadzenie do szybkiej ratyfikacji Umowy przez umawiające się Strony oraz wejścia Umowy w życie.</w:t>
      </w:r>
    </w:p>
    <w:p w14:paraId="401FE416" w14:textId="77777777" w:rsidR="005047EB" w:rsidRPr="00B521BC" w:rsidRDefault="005047EB" w:rsidP="00B521BC">
      <w:pPr>
        <w:keepNext/>
        <w:keepLines/>
        <w:numPr>
          <w:ilvl w:val="0"/>
          <w:numId w:val="1"/>
        </w:numPr>
        <w:suppressAutoHyphens/>
        <w:spacing w:before="120" w:line="360" w:lineRule="auto"/>
        <w:ind w:left="714" w:hanging="357"/>
        <w:jc w:val="both"/>
        <w:rPr>
          <w:rFonts w:cstheme="minorHAnsi"/>
          <w:b/>
          <w:szCs w:val="22"/>
        </w:rPr>
      </w:pPr>
      <w:r w:rsidRPr="00B521BC">
        <w:rPr>
          <w:rFonts w:cstheme="minorHAnsi"/>
          <w:b/>
          <w:szCs w:val="22"/>
        </w:rPr>
        <w:lastRenderedPageBreak/>
        <w:t xml:space="preserve">Różnice między dotychczasowym a projektowanym stanem prawnym </w:t>
      </w:r>
    </w:p>
    <w:p w14:paraId="227E011A" w14:textId="0071096A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color w:val="000000"/>
          <w:szCs w:val="22"/>
        </w:rPr>
      </w:pPr>
      <w:r w:rsidRPr="00B521BC">
        <w:rPr>
          <w:rFonts w:cstheme="minorHAnsi"/>
          <w:color w:val="000000"/>
          <w:szCs w:val="22"/>
        </w:rPr>
        <w:t xml:space="preserve">Jak wskazano wyżej, obecna współpraca w zakresie wzajemnej pomocy prawnej w sprawach karnych między Polską a Filipinami odbywa się w oparciu o przepisy kpk i zasadę wzajemności. Umowa w sposób kompleksowy i zgodny z kpk reguluje całość tej współpracy, eliminując co do zasady konieczność odwoływania się do przepisów ustawowych. </w:t>
      </w:r>
    </w:p>
    <w:p w14:paraId="56FD0581" w14:textId="77777777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color w:val="000000"/>
          <w:szCs w:val="22"/>
        </w:rPr>
      </w:pPr>
      <w:r w:rsidRPr="00B521BC">
        <w:rPr>
          <w:rFonts w:cstheme="minorHAnsi"/>
          <w:color w:val="000000"/>
          <w:szCs w:val="22"/>
        </w:rPr>
        <w:t>Umowa wzorowana jest na przepisach wiążących Polskę umów międzynarodowych:</w:t>
      </w:r>
    </w:p>
    <w:p w14:paraId="43C91582" w14:textId="09E07C23" w:rsidR="005047EB" w:rsidRPr="00B521BC" w:rsidRDefault="005047EB" w:rsidP="00B521B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120" w:line="360" w:lineRule="auto"/>
        <w:ind w:left="426" w:right="-425"/>
        <w:jc w:val="both"/>
        <w:rPr>
          <w:rFonts w:cstheme="minorHAnsi"/>
          <w:szCs w:val="22"/>
        </w:rPr>
      </w:pPr>
      <w:r w:rsidRPr="00B521BC">
        <w:rPr>
          <w:rFonts w:cstheme="minorHAnsi"/>
          <w:b/>
          <w:bCs/>
          <w:color w:val="000000"/>
          <w:szCs w:val="22"/>
        </w:rPr>
        <w:t>dwustronnych</w:t>
      </w:r>
      <w:r w:rsidRPr="00B521BC">
        <w:rPr>
          <w:rFonts w:cstheme="minorHAnsi"/>
          <w:color w:val="000000"/>
          <w:szCs w:val="22"/>
        </w:rPr>
        <w:t xml:space="preserve">, w tym: </w:t>
      </w:r>
      <w:r w:rsidRPr="00B521BC">
        <w:rPr>
          <w:rFonts w:cstheme="minorHAnsi"/>
          <w:i/>
          <w:iCs/>
          <w:color w:val="000000"/>
          <w:szCs w:val="22"/>
        </w:rPr>
        <w:t>Umowy między Rzecząpospolitą Polską a Federacyjną Republiką Brazylii o przekazywaniu osób skazanych</w:t>
      </w:r>
      <w:r w:rsidRPr="00B521BC">
        <w:rPr>
          <w:rFonts w:cstheme="minorHAnsi"/>
          <w:color w:val="000000"/>
          <w:szCs w:val="22"/>
        </w:rPr>
        <w:t>, podpisanej w Brasilii dnia 26 listopada 2012 r. (Dz.</w:t>
      </w:r>
      <w:r w:rsidR="00B6560C">
        <w:rPr>
          <w:rFonts w:cstheme="minorHAnsi"/>
          <w:color w:val="000000"/>
          <w:szCs w:val="22"/>
        </w:rPr>
        <w:t> </w:t>
      </w:r>
      <w:r w:rsidRPr="00B521BC">
        <w:rPr>
          <w:rFonts w:cstheme="minorHAnsi"/>
          <w:color w:val="000000"/>
          <w:szCs w:val="22"/>
        </w:rPr>
        <w:t>U. z 2018 r. poz. 1988)</w:t>
      </w:r>
      <w:r w:rsidR="00B6560C" w:rsidRPr="00B521BC">
        <w:rPr>
          <w:rFonts w:cstheme="minorHAnsi"/>
          <w:color w:val="000000"/>
          <w:szCs w:val="22"/>
        </w:rPr>
        <w:t>,</w:t>
      </w:r>
      <w:r w:rsidRPr="00B521BC">
        <w:rPr>
          <w:rFonts w:cstheme="minorHAnsi"/>
          <w:color w:val="000000"/>
          <w:szCs w:val="22"/>
        </w:rPr>
        <w:t xml:space="preserve"> dalej: umowa z Brazylią; </w:t>
      </w:r>
      <w:r w:rsidRPr="00B521BC">
        <w:rPr>
          <w:rFonts w:cstheme="minorHAnsi"/>
          <w:i/>
          <w:iCs/>
          <w:color w:val="000000"/>
          <w:szCs w:val="22"/>
        </w:rPr>
        <w:t>Umowy między Rzecząpospolitą Polską a Republiką Peru o przekazywaniu osób skazanych</w:t>
      </w:r>
      <w:r w:rsidRPr="00B521BC">
        <w:rPr>
          <w:rFonts w:cstheme="minorHAnsi"/>
          <w:color w:val="000000"/>
          <w:szCs w:val="22"/>
        </w:rPr>
        <w:t>, podpisanej w Limie dnia 27 maja 2014 r. (Dz. U. z 2016 r. poz. 454)</w:t>
      </w:r>
      <w:r w:rsidR="00B6560C" w:rsidRPr="00B521BC">
        <w:rPr>
          <w:rFonts w:cstheme="minorHAnsi"/>
          <w:color w:val="000000"/>
          <w:szCs w:val="22"/>
        </w:rPr>
        <w:t>,</w:t>
      </w:r>
      <w:r w:rsidRPr="00B521BC">
        <w:rPr>
          <w:rFonts w:cstheme="minorHAnsi"/>
          <w:color w:val="000000"/>
          <w:szCs w:val="22"/>
        </w:rPr>
        <w:t xml:space="preserve"> dalej: umowa z Peru</w:t>
      </w:r>
      <w:r w:rsidRPr="00B521BC">
        <w:rPr>
          <w:rFonts w:cstheme="minorHAnsi"/>
          <w:szCs w:val="22"/>
        </w:rPr>
        <w:t>;</w:t>
      </w:r>
      <w:r w:rsidRPr="005047EB">
        <w:t xml:space="preserve"> </w:t>
      </w:r>
      <w:r w:rsidRPr="00B521BC">
        <w:rPr>
          <w:rFonts w:cstheme="minorHAnsi"/>
          <w:i/>
          <w:iCs/>
          <w:szCs w:val="22"/>
        </w:rPr>
        <w:t>Umowy między Rzecząpospolitą Polską a Królestwem Marokańskim o przekazywaniu osób skazanych</w:t>
      </w:r>
      <w:r w:rsidRPr="00B521BC">
        <w:rPr>
          <w:rFonts w:cstheme="minorHAnsi"/>
          <w:szCs w:val="22"/>
        </w:rPr>
        <w:t>, podpisanej w Rabacie dnia 30</w:t>
      </w:r>
      <w:r w:rsidR="00B6560C">
        <w:rPr>
          <w:rFonts w:cstheme="minorHAnsi"/>
          <w:szCs w:val="22"/>
        </w:rPr>
        <w:t> </w:t>
      </w:r>
      <w:r w:rsidRPr="00B521BC">
        <w:rPr>
          <w:rFonts w:cstheme="minorHAnsi"/>
          <w:szCs w:val="22"/>
        </w:rPr>
        <w:t>czerwca 2008 r. (Dz.</w:t>
      </w:r>
      <w:r w:rsidR="00B6560C" w:rsidRPr="00B6560C">
        <w:rPr>
          <w:rFonts w:cstheme="minorHAnsi"/>
          <w:szCs w:val="22"/>
        </w:rPr>
        <w:t> </w:t>
      </w:r>
      <w:r w:rsidRPr="00B521BC">
        <w:rPr>
          <w:rFonts w:cstheme="minorHAnsi"/>
          <w:szCs w:val="22"/>
        </w:rPr>
        <w:t xml:space="preserve">U. z 2013 r. poz. 59); </w:t>
      </w:r>
      <w:r w:rsidRPr="00B521BC">
        <w:rPr>
          <w:rFonts w:cstheme="minorHAnsi"/>
          <w:i/>
          <w:iCs/>
          <w:szCs w:val="22"/>
        </w:rPr>
        <w:t>Umowy między Rzecząpospolitą Polską a Królestwem Tajlandii o przekazywaniu przestępców i współpracy w wykonywaniu orzeczeń w sprawach karnych</w:t>
      </w:r>
      <w:r w:rsidRPr="00B521BC">
        <w:rPr>
          <w:rFonts w:cstheme="minorHAnsi"/>
          <w:szCs w:val="22"/>
        </w:rPr>
        <w:t>, sporządzona w Bangkoku dnia 19 kwietnia 1997 r. (Dz. U. z 1999 r. poz.</w:t>
      </w:r>
      <w:r w:rsidR="00B6560C">
        <w:rPr>
          <w:rFonts w:cstheme="minorHAnsi"/>
          <w:szCs w:val="22"/>
        </w:rPr>
        <w:t> </w:t>
      </w:r>
      <w:r w:rsidRPr="00B521BC">
        <w:rPr>
          <w:rFonts w:cstheme="minorHAnsi"/>
          <w:szCs w:val="22"/>
        </w:rPr>
        <w:t>658)</w:t>
      </w:r>
      <w:r w:rsidR="00B6560C">
        <w:rPr>
          <w:rFonts w:cstheme="minorHAnsi"/>
          <w:szCs w:val="22"/>
        </w:rPr>
        <w:t>,</w:t>
      </w:r>
    </w:p>
    <w:p w14:paraId="144AE86E" w14:textId="715626DC" w:rsidR="005047EB" w:rsidRPr="00B521BC" w:rsidRDefault="005047EB" w:rsidP="00B521BC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120" w:line="360" w:lineRule="auto"/>
        <w:ind w:left="426" w:right="-425"/>
        <w:jc w:val="both"/>
        <w:rPr>
          <w:rFonts w:cstheme="minorHAnsi"/>
          <w:color w:val="000000"/>
          <w:szCs w:val="22"/>
        </w:rPr>
      </w:pPr>
      <w:r w:rsidRPr="00B521BC">
        <w:rPr>
          <w:rFonts w:cstheme="minorHAnsi"/>
          <w:b/>
          <w:bCs/>
          <w:color w:val="000000"/>
          <w:szCs w:val="22"/>
        </w:rPr>
        <w:t>wielostronnych</w:t>
      </w:r>
      <w:r w:rsidRPr="00B521BC">
        <w:rPr>
          <w:rFonts w:cstheme="minorHAnsi"/>
          <w:color w:val="000000"/>
          <w:szCs w:val="22"/>
        </w:rPr>
        <w:t xml:space="preserve">, w tym: </w:t>
      </w:r>
      <w:r w:rsidRPr="00B521BC">
        <w:rPr>
          <w:rFonts w:cstheme="minorHAnsi"/>
          <w:i/>
          <w:iCs/>
          <w:color w:val="000000"/>
          <w:szCs w:val="22"/>
        </w:rPr>
        <w:t>Konwencji o przekazywaniu osób skazanych</w:t>
      </w:r>
      <w:r w:rsidRPr="00B521BC">
        <w:rPr>
          <w:rFonts w:cstheme="minorHAnsi"/>
          <w:color w:val="000000"/>
          <w:szCs w:val="22"/>
        </w:rPr>
        <w:t>, sporządzonej w Strasburgu dnia 21 marca 1983 r. (Dz. U. z 1995 r. poz. 279)</w:t>
      </w:r>
      <w:r w:rsidR="00B6560C" w:rsidRPr="00B521BC">
        <w:rPr>
          <w:rFonts w:cstheme="minorHAnsi"/>
          <w:color w:val="000000"/>
          <w:szCs w:val="22"/>
        </w:rPr>
        <w:t>,</w:t>
      </w:r>
      <w:r w:rsidRPr="00B521BC">
        <w:rPr>
          <w:rFonts w:cstheme="minorHAnsi"/>
          <w:color w:val="000000"/>
          <w:szCs w:val="22"/>
        </w:rPr>
        <w:t xml:space="preserve"> dalej: Konwencja</w:t>
      </w:r>
      <w:r w:rsidR="00B6560C" w:rsidRPr="00B521BC">
        <w:rPr>
          <w:rFonts w:cstheme="minorHAnsi"/>
          <w:color w:val="000000"/>
          <w:szCs w:val="22"/>
        </w:rPr>
        <w:t>,</w:t>
      </w:r>
      <w:r w:rsidRPr="00B521BC">
        <w:rPr>
          <w:rFonts w:cstheme="minorHAnsi"/>
          <w:color w:val="000000"/>
          <w:szCs w:val="22"/>
        </w:rPr>
        <w:t xml:space="preserve"> wraz z </w:t>
      </w:r>
      <w:r w:rsidRPr="00B521BC">
        <w:rPr>
          <w:rFonts w:cstheme="minorHAnsi"/>
          <w:i/>
          <w:iCs/>
          <w:color w:val="000000"/>
          <w:szCs w:val="22"/>
        </w:rPr>
        <w:t>Protokołem dodatkowym do Konwencji</w:t>
      </w:r>
      <w:r w:rsidRPr="00B521BC">
        <w:rPr>
          <w:rFonts w:cstheme="minorHAnsi"/>
          <w:color w:val="000000"/>
          <w:szCs w:val="22"/>
        </w:rPr>
        <w:t>, sporządzonym w Strasburgu dnia 18 grudnia 1997 r. (Dz. U. z 2000 r. poz. 490)</w:t>
      </w:r>
      <w:r w:rsidR="00B6560C" w:rsidRPr="00B521BC">
        <w:rPr>
          <w:rFonts w:cstheme="minorHAnsi"/>
          <w:color w:val="000000"/>
          <w:szCs w:val="22"/>
        </w:rPr>
        <w:t>,</w:t>
      </w:r>
      <w:r w:rsidRPr="00B521BC">
        <w:rPr>
          <w:rFonts w:cstheme="minorHAnsi"/>
          <w:color w:val="000000"/>
          <w:szCs w:val="22"/>
        </w:rPr>
        <w:t xml:space="preserve"> dalej: Protokół.  </w:t>
      </w:r>
    </w:p>
    <w:p w14:paraId="18C39363" w14:textId="77777777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color w:val="000000"/>
          <w:szCs w:val="22"/>
        </w:rPr>
      </w:pPr>
      <w:r w:rsidRPr="00B521BC">
        <w:rPr>
          <w:rFonts w:cstheme="minorHAnsi"/>
          <w:color w:val="000000"/>
          <w:szCs w:val="22"/>
        </w:rPr>
        <w:t>W Umowie zawarto również przepisy zmierzające do uproszczenia współpracy, ochrony bezpieczeństwa Rzeczypospolitej Polskiej oraz ochrony interesów polskich obywateli.</w:t>
      </w:r>
    </w:p>
    <w:p w14:paraId="21FA051F" w14:textId="425B5C9D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color w:val="000000"/>
          <w:szCs w:val="22"/>
        </w:rPr>
      </w:pPr>
      <w:r w:rsidRPr="00B521BC">
        <w:rPr>
          <w:rFonts w:cstheme="minorHAnsi"/>
          <w:color w:val="000000"/>
          <w:szCs w:val="22"/>
        </w:rPr>
        <w:t xml:space="preserve">Dla zapewnienia efektywności, usprawnienia i przyspieszenia współpracy, w Umowie określono m.in. wymogi formalne wniosków i elementy, jakie muszą albo mogą one zawierać, </w:t>
      </w:r>
      <w:r w:rsidR="00B6560C">
        <w:rPr>
          <w:rFonts w:cstheme="minorHAnsi"/>
          <w:color w:val="000000"/>
          <w:szCs w:val="22"/>
        </w:rPr>
        <w:t>a</w:t>
      </w:r>
      <w:r w:rsidRPr="00B521BC">
        <w:rPr>
          <w:rFonts w:cstheme="minorHAnsi"/>
          <w:color w:val="000000"/>
          <w:szCs w:val="22"/>
        </w:rPr>
        <w:t xml:space="preserve">by mogły zostać sprawnie zrealizowane (art. 5). Ustalono ponadto, że korespondencja odbywać się będzie co do zasady w języku angielskim, co przyczyni się do obniżenia kosztów współpracy i ją ułatwi. </w:t>
      </w:r>
    </w:p>
    <w:p w14:paraId="0FA34D08" w14:textId="111DBEC9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color w:val="000000"/>
          <w:szCs w:val="22"/>
        </w:rPr>
      </w:pPr>
      <w:r w:rsidRPr="00B521BC">
        <w:rPr>
          <w:rFonts w:cstheme="minorHAnsi"/>
          <w:color w:val="000000"/>
          <w:szCs w:val="22"/>
        </w:rPr>
        <w:t>Zasadniczą rolę w obrocie (wysyłanie, przyjmowanie, przekazywanie wniosków i in.) odgrywać będą organy centralne (art. 3 ust. 3), mające uprawnienie do utrzymywania kontaktów bezpośrednich, także w formie elektronicznej, co przyspieszy realizację wniosków (art. 3 ust. 5). Wnioski przekazywane będą w drodze dyplomatycznej, a wszelka inna korespondencja będzie przekazywana bezpośrednio między organami centralnymi (art. 3 ust. 4). Ze strony Polski planowane jest wyznaczenie jako organu centralnego Ministra Sprawiedliwości.</w:t>
      </w:r>
    </w:p>
    <w:p w14:paraId="06CEEC6C" w14:textId="7C691295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color w:val="000000"/>
          <w:szCs w:val="22"/>
        </w:rPr>
      </w:pPr>
      <w:r w:rsidRPr="00B521BC">
        <w:rPr>
          <w:rFonts w:cstheme="minorHAnsi"/>
          <w:color w:val="000000"/>
          <w:szCs w:val="22"/>
        </w:rPr>
        <w:lastRenderedPageBreak/>
        <w:t>Umowa zawiera gwarancje ochrony interesów i bezpieczeństwa Polski</w:t>
      </w:r>
      <w:r w:rsidR="00B6560C">
        <w:rPr>
          <w:rFonts w:cstheme="minorHAnsi"/>
          <w:color w:val="000000"/>
          <w:szCs w:val="22"/>
        </w:rPr>
        <w:t>,</w:t>
      </w:r>
      <w:r w:rsidRPr="00B521BC">
        <w:rPr>
          <w:rFonts w:cstheme="minorHAnsi"/>
          <w:color w:val="000000"/>
          <w:szCs w:val="22"/>
        </w:rPr>
        <w:t xml:space="preserve"> m.in. przez możliwość odmowy realizacji wniosku, gdyby mogło to naruszyć jej suwerenność, bezpieczeństwo lub porządek publiczny państwa (art. 4 ust. 1 lit. g). </w:t>
      </w:r>
    </w:p>
    <w:p w14:paraId="4B50ADC5" w14:textId="6213CCF0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color w:val="000000"/>
          <w:szCs w:val="22"/>
        </w:rPr>
      </w:pPr>
      <w:r w:rsidRPr="00B521BC">
        <w:rPr>
          <w:rFonts w:cstheme="minorHAnsi"/>
          <w:color w:val="000000"/>
          <w:szCs w:val="22"/>
        </w:rPr>
        <w:t>Umowa gwarantuje, że przekazanie osoby skazanej nastąpić może jedynie za jej zgodą wyrażoną dobrowolnie i ze świadomością jej skutków prawnych, co zapewnić mają: ciążący na państwie skazania obowiązek poinformowania każdego skazanego posiadającego obywatelstwo państwa wykonania w sposób dla niego zrozumiały o możliwości przekazania oraz o skutkach prawnych takiego przekazania (art. 5 ust. 1). W związku z tym, że Umowa dotyczy także osób umieszczonych w instytucjach dla osób z zaburzeniami lub chorobami psychicznymi, w art. 4 ust. 1 lit. f wprowadzono zasadę, ż</w:t>
      </w:r>
      <w:r w:rsidR="00B6560C">
        <w:rPr>
          <w:rFonts w:cstheme="minorHAnsi"/>
          <w:color w:val="000000"/>
          <w:szCs w:val="22"/>
        </w:rPr>
        <w:t>e</w:t>
      </w:r>
      <w:r w:rsidRPr="00B521BC">
        <w:rPr>
          <w:rFonts w:cstheme="minorHAnsi"/>
          <w:color w:val="000000"/>
          <w:szCs w:val="22"/>
        </w:rPr>
        <w:t xml:space="preserve"> w przypadkach, gdy osoba skazana nie jest zdolna do wyrażenia zgody samodzielnie, zgodę tę może wyrazić jej przedstawiciel prawny. W każdym przypadku państwo skazania jest zobowiązane do umożliwienia urzędnikowi konsularnemu państwa wykonania sprawdzenia, czy osoba skazana wyraziła zgodę dobrowolnie i z pełną świadomością jej skutków prawnych (art. 5 ust. 8), co odpowiada rozwiązaniom przyjętym m.in. w Konwencji oraz w umowach z Brazylią i Peru.</w:t>
      </w:r>
    </w:p>
    <w:p w14:paraId="712743CB" w14:textId="102FEAA8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color w:val="000000"/>
          <w:szCs w:val="22"/>
        </w:rPr>
      </w:pPr>
      <w:r w:rsidRPr="00B521BC">
        <w:rPr>
          <w:rFonts w:cstheme="minorHAnsi"/>
          <w:color w:val="000000"/>
          <w:szCs w:val="22"/>
        </w:rPr>
        <w:t xml:space="preserve">Istotny mechanizm gwarancji ochrony praw osoby skazanej przewidziano w art. 7 Umowy, co </w:t>
      </w:r>
      <w:r w:rsidR="00B6560C">
        <w:rPr>
          <w:rFonts w:cstheme="minorHAnsi"/>
          <w:color w:val="000000"/>
          <w:szCs w:val="22"/>
        </w:rPr>
        <w:t xml:space="preserve">jest </w:t>
      </w:r>
      <w:r w:rsidRPr="00B521BC">
        <w:rPr>
          <w:rFonts w:cstheme="minorHAnsi"/>
          <w:color w:val="000000"/>
          <w:szCs w:val="22"/>
        </w:rPr>
        <w:t xml:space="preserve">szczególnie ważne ze względu na różne systemy prawa karnego obu Stron, w tym odmienne kary przewidziane za podobne przestępstwa. Przepis ten wprowadza zasady dostosowywania kary orzeczonej na podstawie prawa jednego państwa do kary przewidzianej w prawie drugiego państwa. Zapewniają one, że przekazanie nie doprowadzi do zaostrzenia orzeczonej kary ani pod względem jej rodzaju, ani jej długości, a kara odbyta w państwie skazania zostanie zaliczona na poczet kary odbywanej w państwie wykonania (art. 7 ust. 1, 2 i 6). Wypełniono w ten sposób standardy określone w art. 10 Konwencji, podobne do przyjętych w umowach z Brazylią i Peru. </w:t>
      </w:r>
    </w:p>
    <w:p w14:paraId="0A60ABCD" w14:textId="77777777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color w:val="000000"/>
          <w:szCs w:val="22"/>
        </w:rPr>
      </w:pPr>
      <w:r w:rsidRPr="00B521BC">
        <w:rPr>
          <w:rFonts w:cstheme="minorHAnsi"/>
          <w:color w:val="000000"/>
          <w:szCs w:val="22"/>
        </w:rPr>
        <w:t xml:space="preserve">Art. 7 ust. 9 Umowy nakłada na Strony obowiązek przekazywania sobie wzajemnie informacji, których konsekwencją jest konieczność zaprzestania wykonywania kary, w tym o okolicznościach skutkujących brakiem faktycznej możliwości wykonania kary (ust. 9 lit. c), np. ucieczka skazanego z zakładu karnego w państwie wykonania, jego choroba lub śmierć, a także o okolicznościach prawnych powodujących konieczność zaprzestania wykonywania kary (ust. 11), np. amnestia, zastosowanie prawa łaski wobec skazanego w państwie skazania, zamiana kary na inną. </w:t>
      </w:r>
    </w:p>
    <w:p w14:paraId="39AB7E10" w14:textId="453267FD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color w:val="000000"/>
          <w:szCs w:val="22"/>
        </w:rPr>
      </w:pPr>
      <w:r w:rsidRPr="00B521BC">
        <w:rPr>
          <w:rFonts w:cstheme="minorHAnsi"/>
          <w:color w:val="000000"/>
          <w:szCs w:val="22"/>
        </w:rPr>
        <w:t xml:space="preserve">Koszty przekazania (art. 9) określono w Umowie w sposób standardowo przyjęty w wiążących Polskę dwustronnych umowach międzynarodowych, w tym w umowie z Brazylią. W razie kosztów nadzwyczajnych realizacji wniosku Strony Umowy konsultują się z sobą w celu ustalenia np. kwestii ich podziału (art. 9 ust. 3). </w:t>
      </w:r>
    </w:p>
    <w:p w14:paraId="030FF433" w14:textId="77777777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color w:val="000000"/>
          <w:szCs w:val="22"/>
        </w:rPr>
      </w:pPr>
      <w:r w:rsidRPr="00B521BC">
        <w:rPr>
          <w:rFonts w:cstheme="minorHAnsi"/>
          <w:color w:val="000000"/>
          <w:szCs w:val="22"/>
        </w:rPr>
        <w:lastRenderedPageBreak/>
        <w:t>Umowa przewiduje także możliwość dokonania tranzytu osoby skazanej przez terytorium każdej ze Stron w celu przewiezienia jej do państwa trzeciego w celu odbycia kary (art. 8).</w:t>
      </w:r>
    </w:p>
    <w:p w14:paraId="1617E77A" w14:textId="3D180458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szCs w:val="22"/>
        </w:rPr>
      </w:pPr>
      <w:bookmarkStart w:id="0" w:name="_Hlk94189360"/>
      <w:r w:rsidRPr="00B521BC">
        <w:rPr>
          <w:rFonts w:cstheme="minorHAnsi"/>
          <w:szCs w:val="22"/>
        </w:rPr>
        <w:t xml:space="preserve">Umowa gwarantuje, odpowiadającą standardom europejskim ochronę danych osobowych na każdym etapie realizacji wniosków. Ochronę tę należy oceniać m.in. przez pryzmat zasad sformułowanych w </w:t>
      </w:r>
      <w:r w:rsidR="00B6560C">
        <w:rPr>
          <w:rFonts w:cstheme="minorHAnsi"/>
          <w:szCs w:val="22"/>
        </w:rPr>
        <w:t>d</w:t>
      </w:r>
      <w:r w:rsidRPr="00B521BC">
        <w:rPr>
          <w:rFonts w:cstheme="minorHAnsi"/>
          <w:szCs w:val="22"/>
        </w:rPr>
        <w:t>yrektywie Parlamentu Europejskiego i Rady (UE) 2016/680 z dnia 27 kwietnia 2016 r. w sprawie ochrony osób fizycznych w związku z przetwarzaniem danych osobowych przez właściwe organy do celów zapobiegania przestępczości, prowadzenia postępowań przygotowawczych, wykrywania i ścigania czynów zabronionych i wykonywania kar, w sprawie swobodnego przepływu takich danych oraz uchylającej decyzję ramową Rady 2008/977/WSiSW, dalej: DODO (Dz. Urz. UE L 119 z 04.05.2016, str. 89, z p</w:t>
      </w:r>
      <w:r w:rsidR="00B6560C">
        <w:rPr>
          <w:rFonts w:cstheme="minorHAnsi"/>
          <w:szCs w:val="22"/>
        </w:rPr>
        <w:t>ó</w:t>
      </w:r>
      <w:r w:rsidRPr="00B521BC">
        <w:rPr>
          <w:rFonts w:cstheme="minorHAnsi"/>
          <w:szCs w:val="22"/>
        </w:rPr>
        <w:t>ź</w:t>
      </w:r>
      <w:r w:rsidR="00B6560C">
        <w:rPr>
          <w:rFonts w:cstheme="minorHAnsi"/>
          <w:szCs w:val="22"/>
        </w:rPr>
        <w:t>n</w:t>
      </w:r>
      <w:r w:rsidRPr="00B521BC">
        <w:rPr>
          <w:rFonts w:cstheme="minorHAnsi"/>
          <w:szCs w:val="22"/>
        </w:rPr>
        <w:t>. zm.), implementowanej do krajowego porządku prawnego ustawą z dnia 14 grudnia 2018 r. o ochronie danych osobowych przetwarzanych w związku z zapobieganiem i zwalczaniem przestępczości (Dz. U. z 2023 r. poz.</w:t>
      </w:r>
      <w:r w:rsidR="00B6560C">
        <w:rPr>
          <w:rFonts w:cstheme="minorHAnsi"/>
          <w:szCs w:val="22"/>
        </w:rPr>
        <w:t> </w:t>
      </w:r>
      <w:r w:rsidRPr="00B521BC">
        <w:rPr>
          <w:rFonts w:cstheme="minorHAnsi"/>
          <w:szCs w:val="22"/>
        </w:rPr>
        <w:t xml:space="preserve">1206). </w:t>
      </w:r>
    </w:p>
    <w:p w14:paraId="2E17E779" w14:textId="79800DCE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szCs w:val="22"/>
        </w:rPr>
      </w:pPr>
      <w:r w:rsidRPr="00B521BC">
        <w:rPr>
          <w:rFonts w:cstheme="minorHAnsi"/>
          <w:szCs w:val="22"/>
        </w:rPr>
        <w:t xml:space="preserve">Ochrona danych osobowych będzie realizowana </w:t>
      </w:r>
      <w:r w:rsidR="00C54B16">
        <w:rPr>
          <w:rFonts w:cstheme="minorHAnsi"/>
          <w:szCs w:val="22"/>
        </w:rPr>
        <w:t xml:space="preserve">zarówno </w:t>
      </w:r>
      <w:r w:rsidRPr="00B521BC">
        <w:rPr>
          <w:rFonts w:cstheme="minorHAnsi"/>
          <w:szCs w:val="22"/>
        </w:rPr>
        <w:t xml:space="preserve">w oparciu o przepisy samej Umowy, jak i o przepisy prawa krajowego, w szczególności kpk (np. art. 95b, </w:t>
      </w:r>
      <w:r w:rsidR="00C54B16">
        <w:rPr>
          <w:rFonts w:cstheme="minorHAnsi"/>
          <w:szCs w:val="22"/>
        </w:rPr>
        <w:t xml:space="preserve">art. </w:t>
      </w:r>
      <w:r w:rsidRPr="00B521BC">
        <w:rPr>
          <w:rFonts w:cstheme="minorHAnsi"/>
          <w:szCs w:val="22"/>
        </w:rPr>
        <w:t xml:space="preserve">147 § 2c i 4, </w:t>
      </w:r>
      <w:r w:rsidR="00C54B16">
        <w:rPr>
          <w:rFonts w:cstheme="minorHAnsi"/>
          <w:szCs w:val="22"/>
        </w:rPr>
        <w:t xml:space="preserve">art. </w:t>
      </w:r>
      <w:r w:rsidRPr="00B521BC">
        <w:rPr>
          <w:rFonts w:cstheme="minorHAnsi"/>
          <w:szCs w:val="22"/>
        </w:rPr>
        <w:t xml:space="preserve">148a, </w:t>
      </w:r>
      <w:r w:rsidR="00C54B16">
        <w:rPr>
          <w:rFonts w:cstheme="minorHAnsi"/>
          <w:szCs w:val="22"/>
        </w:rPr>
        <w:t>art. </w:t>
      </w:r>
      <w:r w:rsidRPr="00B521BC">
        <w:rPr>
          <w:rFonts w:cstheme="minorHAnsi"/>
          <w:szCs w:val="22"/>
        </w:rPr>
        <w:t xml:space="preserve">181, </w:t>
      </w:r>
      <w:r w:rsidR="00C54B16">
        <w:rPr>
          <w:rFonts w:cstheme="minorHAnsi"/>
          <w:szCs w:val="22"/>
        </w:rPr>
        <w:t xml:space="preserve">art. </w:t>
      </w:r>
      <w:r w:rsidRPr="00B521BC">
        <w:rPr>
          <w:rFonts w:cstheme="minorHAnsi"/>
          <w:szCs w:val="22"/>
        </w:rPr>
        <w:t>355</w:t>
      </w:r>
      <w:r w:rsidR="00C54B16">
        <w:rPr>
          <w:rFonts w:cstheme="minorHAnsi"/>
          <w:szCs w:val="22"/>
        </w:rPr>
        <w:t xml:space="preserve"> i</w:t>
      </w:r>
      <w:r w:rsidRPr="00B521BC">
        <w:rPr>
          <w:rFonts w:cstheme="minorHAnsi"/>
          <w:szCs w:val="22"/>
        </w:rPr>
        <w:t xml:space="preserve"> 360</w:t>
      </w:r>
      <w:r w:rsidR="00C54B16">
        <w:rPr>
          <w:rFonts w:cstheme="minorHAnsi"/>
          <w:szCs w:val="22"/>
        </w:rPr>
        <w:t>–</w:t>
      </w:r>
      <w:r w:rsidRPr="00B521BC">
        <w:rPr>
          <w:rFonts w:cstheme="minorHAnsi"/>
          <w:szCs w:val="22"/>
        </w:rPr>
        <w:t xml:space="preserve">364) stanowiących uszczegółowienie (w zakresie postępowań karnych, w tym z elementem międzynarodowym) właściwych przepisów Konstytucji Rzeczypospolitej Polskiej z dnia 2 kwietnia 1997 r. (Dz. U. poz. 483, z późn. zm.) – m.in. art. 31 ust. 3, 47, 51. Mechanizm ochrony danych osobowych w umowach międzynarodowych z zakresu współpracy prawnej w sprawach karnych sensu largo (pomocy prawnej, ekstradycji i przekazywania osób skazanych) z państwami pozaeuropejskimi został opracowany przez Ministra Sprawiedliwości we współpracy z Ministrem do spraw Unii Europejskiej (właściwym do interpretacji prawa Unii Europejskiej, także w zakresie ochrony danych osobowych; na wcześniejszym etapie prac prowadzono konsultacje także z Prezesem Urzędu Ochrony Danych Osobowych). Po raz pierwszy został zastosowany w </w:t>
      </w:r>
      <w:r w:rsidRPr="00B521BC">
        <w:rPr>
          <w:rFonts w:cstheme="minorHAnsi"/>
          <w:szCs w:val="22"/>
        </w:rPr>
        <w:br/>
        <w:t>Umowie między Rzecząpospolitą Polską a Republik</w:t>
      </w:r>
      <w:r w:rsidR="00C54B16">
        <w:rPr>
          <w:rFonts w:cstheme="minorHAnsi"/>
          <w:szCs w:val="22"/>
        </w:rPr>
        <w:t>ą</w:t>
      </w:r>
      <w:r w:rsidRPr="00B521BC">
        <w:rPr>
          <w:rFonts w:cstheme="minorHAnsi"/>
          <w:szCs w:val="22"/>
        </w:rPr>
        <w:t xml:space="preserve"> Argentyńską o ekstradycji, podpisanej w Buenos Aires dnia 5 grudnia 2019 r., ratyfikowanej przez Prezydenta Rzeczypospolitej Polskiej dnia 4 listopada 2020 r. i oczekującej obecnie na zakończenie procedury ratyfikacyjnej po stronie argentyńskiej.</w:t>
      </w:r>
    </w:p>
    <w:p w14:paraId="6617E79E" w14:textId="1C44AB86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szCs w:val="22"/>
        </w:rPr>
      </w:pPr>
      <w:r w:rsidRPr="00B521BC">
        <w:rPr>
          <w:rFonts w:cstheme="minorHAnsi"/>
          <w:szCs w:val="22"/>
        </w:rPr>
        <w:t xml:space="preserve">Ustalony </w:t>
      </w:r>
      <w:r w:rsidR="00A5122B">
        <w:rPr>
          <w:rFonts w:cstheme="minorHAnsi"/>
          <w:szCs w:val="22"/>
        </w:rPr>
        <w:t>na</w:t>
      </w:r>
      <w:r w:rsidRPr="00B521BC">
        <w:rPr>
          <w:rFonts w:cstheme="minorHAnsi"/>
          <w:szCs w:val="22"/>
        </w:rPr>
        <w:t xml:space="preserve"> potrzeb</w:t>
      </w:r>
      <w:r w:rsidR="00A5122B">
        <w:rPr>
          <w:rFonts w:cstheme="minorHAnsi"/>
          <w:szCs w:val="22"/>
        </w:rPr>
        <w:t>y</w:t>
      </w:r>
      <w:r w:rsidRPr="00B521BC">
        <w:rPr>
          <w:rFonts w:cstheme="minorHAnsi"/>
          <w:szCs w:val="22"/>
        </w:rPr>
        <w:t xml:space="preserve"> Umowy mechanizm (stosowany już obecnie w oparciu o przepisy kpk) przewiduje, że decyzję o przekazaniu konkretnych danych osobowych, ich zakresie i ewentualnych warunków, na jakich będą one mogły być przetwarzane przez partnera zagranicznego, podejmować będzie organ wymiaru sprawiedliwości, który </w:t>
      </w:r>
      <w:r w:rsidR="00A5122B">
        <w:rPr>
          <w:rFonts w:cstheme="minorHAnsi"/>
          <w:szCs w:val="22"/>
        </w:rPr>
        <w:t>te</w:t>
      </w:r>
      <w:r w:rsidRPr="00B521BC">
        <w:rPr>
          <w:rFonts w:cstheme="minorHAnsi"/>
          <w:szCs w:val="22"/>
        </w:rPr>
        <w:t xml:space="preserve"> dane przekazuje za granicę. Jest on bowiem jedynym podmiotem będącym w posiadaniu odpowiednich informacji i wiedzy umożliwiających </w:t>
      </w:r>
      <w:r w:rsidRPr="00B521BC">
        <w:rPr>
          <w:rFonts w:cstheme="minorHAnsi"/>
          <w:szCs w:val="22"/>
        </w:rPr>
        <w:lastRenderedPageBreak/>
        <w:t>jej podjęcie. Jest to zasada analogiczna do przewidzianej w art. 37 ust 1 lit. b DODO. Decyzję tę organ podejmować będzie, uwzględniając m.in. standardy ochrony praw człowieka, w tym poziom ochrony danych osobowych, wynikający m.in. ze zobowiązań międzynarodowych, przepisów prawa krajowego, oceny odpowiednich instytucji międzynarodowych. Do takiej analizy i oceny zobowiązuje sąd i prokuratora art. 588 § 2 kpk, który stanowi, że „sąd i prokurator odmawiają udzielenia pomocy prawnej i przekazują odmowę właściwym organom obcego państwa, jeżeli żądana czynność byłaby sprzeczna z zasadami porządku prawnego Rzeczypospolitej Polskiej albo naruszałaby jej suwerenność.”</w:t>
      </w:r>
      <w:r w:rsidR="00A5122B">
        <w:rPr>
          <w:rFonts w:cstheme="minorHAnsi"/>
          <w:szCs w:val="22"/>
        </w:rPr>
        <w:t>.</w:t>
      </w:r>
      <w:r w:rsidRPr="00B521BC">
        <w:rPr>
          <w:rFonts w:cstheme="minorHAnsi"/>
          <w:szCs w:val="22"/>
        </w:rPr>
        <w:t xml:space="preserve"> Nakazuje on badanie każdej czynności procesowej, w tym więc przekazania danych we wniosku albo odpowiedzi na niego, pod kątem klauzuli porządku prawnego – niesprzeczności z przepisami polskiego prawa krajowego oraz zobowiązaniami międzynarodowymi, w tym wynikającymi z instrumentów prawa Unii Europejskiej, Rady Europy i Organizacji Narodów Zjednoczonych. W trakcie negocjacji Strona filipińska została poinformowana o regulacjach z zakresu ochrony danych osobowych obowiązujących w Polsce, a Strona polska – na Filipinach.</w:t>
      </w:r>
    </w:p>
    <w:p w14:paraId="3E1D905C" w14:textId="1174FB77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szCs w:val="22"/>
        </w:rPr>
      </w:pPr>
      <w:r w:rsidRPr="00B521BC">
        <w:rPr>
          <w:rFonts w:cstheme="minorHAnsi"/>
          <w:szCs w:val="22"/>
        </w:rPr>
        <w:t xml:space="preserve">Zakres </w:t>
      </w:r>
      <w:r w:rsidRPr="00B521BC">
        <w:rPr>
          <w:rFonts w:cstheme="minorHAnsi"/>
          <w:i/>
          <w:iCs/>
          <w:szCs w:val="22"/>
        </w:rPr>
        <w:t>ratione temporis</w:t>
      </w:r>
      <w:r w:rsidRPr="00B521BC">
        <w:rPr>
          <w:rFonts w:cstheme="minorHAnsi"/>
          <w:szCs w:val="22"/>
        </w:rPr>
        <w:t xml:space="preserve"> stosowania Umowy wyznacza art. 12. Celem wnioskodawcy jest zapewnienie, aby Umowa miała zastosowanie nie tylko wobec obywateli Polski, którzy zostaną skazani po jej wejściu w życie, ale także wobec już odbywających karę na terytorium Filipin. Gwarantuje to, wzorowany na postanowieniach Konwencji oraz umów z Peru i Brazylią, art. 12 ust.</w:t>
      </w:r>
      <w:r w:rsidR="00A5122B">
        <w:rPr>
          <w:rFonts w:cstheme="minorHAnsi"/>
          <w:szCs w:val="22"/>
        </w:rPr>
        <w:t> </w:t>
      </w:r>
      <w:r w:rsidRPr="00B521BC">
        <w:rPr>
          <w:rFonts w:cstheme="minorHAnsi"/>
          <w:szCs w:val="22"/>
        </w:rPr>
        <w:t xml:space="preserve">4. </w:t>
      </w:r>
    </w:p>
    <w:p w14:paraId="0F37EBD9" w14:textId="77777777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5"/>
        <w:jc w:val="both"/>
        <w:rPr>
          <w:rFonts w:cstheme="minorHAnsi"/>
          <w:szCs w:val="22"/>
        </w:rPr>
      </w:pPr>
      <w:r w:rsidRPr="00B521BC">
        <w:rPr>
          <w:rFonts w:cstheme="minorHAnsi"/>
          <w:szCs w:val="22"/>
        </w:rPr>
        <w:t xml:space="preserve">Umowa stanowi jedyną realną szansę na usunięcie zagrożenia życia i zdrowia obywateli polskich aktualnie odbywających karę pozbawienia wolności na Filipinach. </w:t>
      </w:r>
    </w:p>
    <w:bookmarkEnd w:id="0"/>
    <w:p w14:paraId="401D104E" w14:textId="77777777" w:rsidR="005047EB" w:rsidRPr="005047EB" w:rsidRDefault="005047EB" w:rsidP="00B521BC">
      <w:pPr>
        <w:pStyle w:val="Akapitzlist"/>
        <w:numPr>
          <w:ilvl w:val="0"/>
          <w:numId w:val="1"/>
        </w:numPr>
        <w:spacing w:before="240" w:line="360" w:lineRule="auto"/>
        <w:ind w:left="714" w:hanging="357"/>
        <w:contextualSpacing w:val="0"/>
        <w:jc w:val="both"/>
        <w:rPr>
          <w:b/>
          <w:bCs/>
        </w:rPr>
      </w:pPr>
      <w:r w:rsidRPr="005047EB">
        <w:rPr>
          <w:b/>
          <w:bCs/>
        </w:rPr>
        <w:t>Przewidywane skutki społeczne, gospodarcze, finansowe, polityczne i prawne związane z wejściem w życie Umowy</w:t>
      </w:r>
    </w:p>
    <w:p w14:paraId="5194539B" w14:textId="77777777" w:rsidR="005047EB" w:rsidRPr="00B521BC" w:rsidRDefault="005047EB" w:rsidP="00B521BC">
      <w:pPr>
        <w:keepLines/>
        <w:suppressAutoHyphens/>
        <w:spacing w:before="120" w:line="360" w:lineRule="auto"/>
        <w:jc w:val="both"/>
        <w:rPr>
          <w:rFonts w:cstheme="minorHAnsi"/>
          <w:bCs/>
          <w:szCs w:val="22"/>
        </w:rPr>
      </w:pPr>
      <w:r w:rsidRPr="00B521BC">
        <w:rPr>
          <w:rFonts w:cstheme="minorHAnsi"/>
          <w:bCs/>
          <w:szCs w:val="22"/>
        </w:rPr>
        <w:t>Skutki społeczne: Najistotniejszym z punktu widzenia Rzeczypospolitej Polskiej skutkiem społecznym wejścia w życie Umowy będzie przyspieszenie i uproszczenie współpracy z Filipinami. Wesprze to realizację sprawiedliwościowych i resocjalizacyjnych celów prawa karnego i polityki karnej oraz przyczyni się do poprawy stanu przestrzegania prawa, a tym samym bezpieczeństwa obywateli polskich.</w:t>
      </w:r>
    </w:p>
    <w:p w14:paraId="42585213" w14:textId="65CDE654" w:rsidR="005047EB" w:rsidRPr="00B521BC" w:rsidRDefault="005047EB" w:rsidP="00B521BC">
      <w:pPr>
        <w:keepLines/>
        <w:suppressAutoHyphens/>
        <w:spacing w:before="120" w:line="360" w:lineRule="auto"/>
        <w:jc w:val="both"/>
        <w:rPr>
          <w:rFonts w:cstheme="minorHAnsi"/>
          <w:bCs/>
          <w:szCs w:val="22"/>
        </w:rPr>
      </w:pPr>
      <w:r w:rsidRPr="00B521BC">
        <w:rPr>
          <w:rFonts w:cstheme="minorHAnsi"/>
          <w:bCs/>
          <w:szCs w:val="22"/>
        </w:rPr>
        <w:lastRenderedPageBreak/>
        <w:t xml:space="preserve">Skutki gospodarcze: Ponieważ istotnym i korzystnym skutkiem Umowy będzie usprawnienie współpracy prawnej z Filipinami, co dodatnio przełoży się na prawnokarną ochronę obrotu gospodarczego, zawarcie Umowy wpłynie pozytywnie na konkurencyjność gospodarki </w:t>
      </w:r>
      <w:r w:rsidRPr="00B521BC">
        <w:rPr>
          <w:rFonts w:cstheme="minorHAnsi"/>
          <w:bCs/>
          <w:szCs w:val="22"/>
        </w:rPr>
        <w:br/>
        <w:t>i przedsiębiorczoś</w:t>
      </w:r>
      <w:r w:rsidR="00A5122B">
        <w:rPr>
          <w:rFonts w:cstheme="minorHAnsi"/>
          <w:bCs/>
          <w:szCs w:val="22"/>
        </w:rPr>
        <w:t>ć</w:t>
      </w:r>
      <w:r w:rsidRPr="00B521BC">
        <w:rPr>
          <w:rFonts w:cstheme="minorHAnsi"/>
          <w:bCs/>
          <w:szCs w:val="22"/>
        </w:rPr>
        <w:t>, w tym na funkcjonowanie przedsiębiorstw, rozwój regionalny oraz na rynek pracy.</w:t>
      </w:r>
    </w:p>
    <w:p w14:paraId="51518AE7" w14:textId="01725B17" w:rsidR="005047EB" w:rsidRPr="00B521BC" w:rsidRDefault="005047EB" w:rsidP="00B521BC">
      <w:pPr>
        <w:keepLines/>
        <w:suppressAutoHyphens/>
        <w:spacing w:before="120" w:line="360" w:lineRule="auto"/>
        <w:jc w:val="both"/>
        <w:rPr>
          <w:rFonts w:cstheme="minorHAnsi"/>
          <w:bCs/>
          <w:szCs w:val="22"/>
        </w:rPr>
      </w:pPr>
      <w:r w:rsidRPr="00B521BC">
        <w:rPr>
          <w:rFonts w:cstheme="minorHAnsi"/>
          <w:bCs/>
          <w:szCs w:val="22"/>
        </w:rPr>
        <w:t xml:space="preserve">Skutki finansowe: Zobowiązania Strony polskiej będą finansowane w ramach limitu wydatków właściwych dysponentów części budżetowych przewidzianych corocznie w ustawie budżetowej dla Ministra Sprawiedliwości (w szczególności koszty tłumaczeń) i Ministra Spraw Wewnętrznych i Administracji (koszty konwojów) i nie będą stanowiły tytułu do zwiększenia wydatków. Szacunkowe koszty zadania konwojowego oceniać należy jako około 35 tys. zł (przy następujących założeniach: 3 funkcjonariuszy, 1 osoba konwojowana). Brak jest czynników wskazujących, </w:t>
      </w:r>
      <w:r w:rsidR="00A5122B">
        <w:rPr>
          <w:rFonts w:cstheme="minorHAnsi"/>
          <w:bCs/>
          <w:szCs w:val="22"/>
        </w:rPr>
        <w:t>a</w:t>
      </w:r>
      <w:r w:rsidRPr="00B521BC">
        <w:rPr>
          <w:rFonts w:cstheme="minorHAnsi"/>
          <w:bCs/>
          <w:szCs w:val="22"/>
        </w:rPr>
        <w:t>by w najbliższych latach liczba zadań konwojowych, a co za tym idzie wydatki budżetu państwa, miały istotnie wzrosnąć. Należy przy tym zaznaczyć, że koszty konwoju obywateli filipińskich przebywających w polskich zakładach karnych do Filipin ponosić będzie Strona filipińska.</w:t>
      </w:r>
    </w:p>
    <w:p w14:paraId="404A9E41" w14:textId="03DD49A8" w:rsidR="005047EB" w:rsidRPr="00B521BC" w:rsidRDefault="005047EB" w:rsidP="00B521BC">
      <w:pPr>
        <w:keepLines/>
        <w:suppressAutoHyphens/>
        <w:spacing w:before="120" w:line="360" w:lineRule="auto"/>
        <w:jc w:val="both"/>
        <w:rPr>
          <w:rFonts w:cstheme="minorHAnsi"/>
          <w:bCs/>
          <w:szCs w:val="22"/>
        </w:rPr>
      </w:pPr>
      <w:r w:rsidRPr="00B521BC">
        <w:rPr>
          <w:rFonts w:cstheme="minorHAnsi"/>
          <w:bCs/>
          <w:szCs w:val="22"/>
        </w:rPr>
        <w:t xml:space="preserve">Skutki polityczne: Związanie się Umową będzie wyrazem woli kontynuowania i zacieśniania współpracy z Filipinami, które są jednym z ważniejszych państw Azji </w:t>
      </w:r>
      <w:r w:rsidR="00A5122B">
        <w:rPr>
          <w:rFonts w:cstheme="minorHAnsi"/>
          <w:bCs/>
          <w:szCs w:val="22"/>
        </w:rPr>
        <w:br/>
      </w:r>
      <w:r w:rsidRPr="00B521BC">
        <w:rPr>
          <w:rFonts w:cstheme="minorHAnsi"/>
          <w:bCs/>
          <w:szCs w:val="22"/>
        </w:rPr>
        <w:t>Południowo-Wschodniej, co pozytywnie wpłynie na polityczną pozycję Polski w tym regionie.</w:t>
      </w:r>
    </w:p>
    <w:p w14:paraId="09A5F164" w14:textId="1ECD8503" w:rsidR="005047EB" w:rsidRPr="00B521BC" w:rsidRDefault="005047EB" w:rsidP="00B521BC">
      <w:pPr>
        <w:keepLines/>
        <w:suppressAutoHyphens/>
        <w:spacing w:before="120" w:line="360" w:lineRule="auto"/>
        <w:jc w:val="both"/>
        <w:rPr>
          <w:rFonts w:cstheme="minorHAnsi"/>
          <w:szCs w:val="22"/>
        </w:rPr>
      </w:pPr>
      <w:r w:rsidRPr="00B521BC">
        <w:rPr>
          <w:rFonts w:cstheme="minorHAnsi"/>
          <w:bCs/>
          <w:szCs w:val="22"/>
        </w:rPr>
        <w:t>Skutki prawne: Umowa jest zgodna ze standardami międzynarodowymi i z zobowiązaniami Rzeczypospolitej Polskiej wynikającymi z traktatów wielostronnych i dwustronnych. Jest również niesprzeczna z prawem Unii Europejskiej. W związku z tym, że Umowa zawiera przepisy samowykonalne, nie będzie zachodziła konieczność dokonywania zmian w prawie krajowym. Zgodnie bowiem z art</w:t>
      </w:r>
      <w:r w:rsidR="00A5122B">
        <w:rPr>
          <w:rFonts w:cstheme="minorHAnsi"/>
          <w:bCs/>
          <w:szCs w:val="22"/>
        </w:rPr>
        <w:t>.</w:t>
      </w:r>
      <w:r w:rsidRPr="00B521BC">
        <w:rPr>
          <w:rFonts w:cstheme="minorHAnsi"/>
          <w:bCs/>
          <w:szCs w:val="22"/>
        </w:rPr>
        <w:t xml:space="preserve"> 91 ust. 1 i 2 Konstytucji Rzeczypospolitej Polskiej z dnia 2</w:t>
      </w:r>
      <w:r w:rsidR="00A5122B">
        <w:rPr>
          <w:rFonts w:cstheme="minorHAnsi"/>
          <w:bCs/>
          <w:szCs w:val="22"/>
        </w:rPr>
        <w:t> </w:t>
      </w:r>
      <w:r w:rsidRPr="00B521BC">
        <w:rPr>
          <w:rFonts w:cstheme="minorHAnsi"/>
          <w:bCs/>
          <w:szCs w:val="22"/>
        </w:rPr>
        <w:t>kwietnia 1997 r. Umowa będzie stosowana bezpośrednio, mając pierwszeństwo przed kpk.</w:t>
      </w:r>
    </w:p>
    <w:p w14:paraId="3E2A51A2" w14:textId="77777777" w:rsidR="005047EB" w:rsidRPr="00B521BC" w:rsidRDefault="005047EB" w:rsidP="00B521BC">
      <w:pPr>
        <w:keepNext/>
        <w:keepLines/>
        <w:numPr>
          <w:ilvl w:val="0"/>
          <w:numId w:val="1"/>
        </w:numPr>
        <w:suppressAutoHyphens/>
        <w:spacing w:before="120" w:line="360" w:lineRule="auto"/>
        <w:jc w:val="both"/>
        <w:rPr>
          <w:rFonts w:cstheme="minorHAnsi"/>
          <w:b/>
          <w:szCs w:val="22"/>
        </w:rPr>
      </w:pPr>
      <w:r w:rsidRPr="00B521BC">
        <w:rPr>
          <w:rFonts w:cstheme="minorHAnsi"/>
          <w:szCs w:val="22"/>
        </w:rPr>
        <w:t xml:space="preserve"> </w:t>
      </w:r>
      <w:r w:rsidRPr="00B521BC">
        <w:rPr>
          <w:rFonts w:cstheme="minorHAnsi"/>
          <w:b/>
          <w:szCs w:val="22"/>
        </w:rPr>
        <w:t>Wyjaśnienie wyboru trybu związania Rzeczypospolitej Polskiej Umową</w:t>
      </w:r>
    </w:p>
    <w:p w14:paraId="788A988D" w14:textId="4D7489D9" w:rsidR="005047EB" w:rsidRPr="00B521BC" w:rsidRDefault="005047EB" w:rsidP="00B521BC">
      <w:pPr>
        <w:autoSpaceDE w:val="0"/>
        <w:autoSpaceDN w:val="0"/>
        <w:adjustRightInd w:val="0"/>
        <w:spacing w:before="120" w:line="360" w:lineRule="auto"/>
        <w:ind w:right="-426"/>
        <w:jc w:val="both"/>
        <w:rPr>
          <w:rFonts w:cstheme="minorHAnsi"/>
          <w:szCs w:val="22"/>
        </w:rPr>
      </w:pPr>
      <w:r w:rsidRPr="00B521BC">
        <w:rPr>
          <w:rFonts w:cstheme="minorHAnsi"/>
          <w:szCs w:val="22"/>
        </w:rPr>
        <w:t>Umowa podlega ratyfikacji za uprzednią zgodą wyrażoną w ustawie (art. 89 ust. 1 pkt 2 i 5 Konstytucji Rzeczypospolitej Polskiej, art. 12 ust. 2 ustawy z dnia 14 kwietnia 2000 r. o umowach międzynarodowych (Dz. U. z 2020 r. poz. 127), ponieważ dotyczy wolności, praw i obowiązków oskarżonych i innych uczestników postępowania karnego (m. in. art. 45 Konstytucji Rzeczypospolitej Polskiej), co stanowi materię ustawową uregulowaną m.in. w kpk.</w:t>
      </w:r>
    </w:p>
    <w:p w14:paraId="34FE9803" w14:textId="77777777" w:rsidR="005D34CA" w:rsidRPr="005047EB" w:rsidRDefault="005D34CA" w:rsidP="00B521BC">
      <w:pPr>
        <w:spacing w:before="120" w:line="360" w:lineRule="auto"/>
      </w:pPr>
    </w:p>
    <w:sectPr w:rsidR="005D34CA" w:rsidRPr="005047EB" w:rsidSect="005047EB">
      <w:headerReference w:type="even" r:id="rId7"/>
      <w:headerReference w:type="default" r:id="rId8"/>
      <w:footerReference w:type="default" r:id="rId9"/>
      <w:footerReference w:type="first" r:id="rId10"/>
      <w:pgSz w:w="11907" w:h="16840" w:code="9"/>
      <w:pgMar w:top="1417" w:right="1417" w:bottom="1417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E891E" w14:textId="77777777" w:rsidR="008273FC" w:rsidRDefault="008273FC" w:rsidP="005047EB">
      <w:r>
        <w:separator/>
      </w:r>
    </w:p>
  </w:endnote>
  <w:endnote w:type="continuationSeparator" w:id="0">
    <w:p w14:paraId="44BF9187" w14:textId="77777777" w:rsidR="008273FC" w:rsidRDefault="008273FC" w:rsidP="00504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2312396"/>
      <w:docPartObj>
        <w:docPartGallery w:val="Page Numbers (Bottom of Page)"/>
        <w:docPartUnique/>
      </w:docPartObj>
    </w:sdtPr>
    <w:sdtEndPr/>
    <w:sdtContent>
      <w:p w14:paraId="0AD94B65" w14:textId="7C6F2FDB" w:rsidR="005047EB" w:rsidRDefault="005047E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6B689D" w14:textId="77777777" w:rsidR="005047EB" w:rsidRDefault="005047E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F264E" w14:textId="77777777" w:rsidR="005047EB" w:rsidRDefault="005047EB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031D5C4D" w14:textId="77777777" w:rsidR="005047EB" w:rsidRDefault="005047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C1324" w14:textId="77777777" w:rsidR="008273FC" w:rsidRDefault="008273FC" w:rsidP="005047EB">
      <w:r>
        <w:separator/>
      </w:r>
    </w:p>
  </w:footnote>
  <w:footnote w:type="continuationSeparator" w:id="0">
    <w:p w14:paraId="42A9AAC8" w14:textId="77777777" w:rsidR="008273FC" w:rsidRDefault="008273FC" w:rsidP="00504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CD332" w14:textId="77777777" w:rsidR="005047EB" w:rsidRDefault="005047EB">
    <w:pPr>
      <w:pStyle w:val="Nagwek"/>
      <w:framePr w:wrap="around" w:vAnchor="text" w:hAnchor="margin" w:xAlign="center" w:y="1"/>
      <w:rPr>
        <w:rStyle w:val="Numerstrony"/>
        <w:rFonts w:eastAsiaTheme="majorEastAsia"/>
      </w:rPr>
    </w:pP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PAGE  </w:instrText>
    </w:r>
    <w:r>
      <w:rPr>
        <w:rStyle w:val="Numerstrony"/>
        <w:rFonts w:eastAsiaTheme="majorEastAsia"/>
      </w:rPr>
      <w:fldChar w:fldCharType="end"/>
    </w:r>
  </w:p>
  <w:p w14:paraId="723EC65B" w14:textId="77777777" w:rsidR="005047EB" w:rsidRDefault="005047E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CCC78" w14:textId="0AD927CC" w:rsidR="005047EB" w:rsidRDefault="005047EB">
    <w:pPr>
      <w:pStyle w:val="Nagwek"/>
      <w:framePr w:wrap="around" w:vAnchor="text" w:hAnchor="margin" w:xAlign="center" w:y="1"/>
      <w:rPr>
        <w:rStyle w:val="Numerstrony"/>
        <w:rFonts w:eastAsiaTheme="majorEastAsia"/>
      </w:rPr>
    </w:pPr>
  </w:p>
  <w:p w14:paraId="451CE525" w14:textId="77777777" w:rsidR="005047EB" w:rsidRDefault="005047EB" w:rsidP="009E5E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4236E"/>
    <w:multiLevelType w:val="hybridMultilevel"/>
    <w:tmpl w:val="B0CE4380"/>
    <w:lvl w:ilvl="0" w:tplc="0E1C990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E12566"/>
    <w:multiLevelType w:val="hybridMultilevel"/>
    <w:tmpl w:val="9BB87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AB1D4E"/>
    <w:multiLevelType w:val="hybridMultilevel"/>
    <w:tmpl w:val="F12A5B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130430">
    <w:abstractNumId w:val="1"/>
  </w:num>
  <w:num w:numId="2" w16cid:durableId="1443527872">
    <w:abstractNumId w:val="2"/>
  </w:num>
  <w:num w:numId="3" w16cid:durableId="952712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383"/>
    <w:rsid w:val="001159CD"/>
    <w:rsid w:val="001A6383"/>
    <w:rsid w:val="00444AF0"/>
    <w:rsid w:val="005047EB"/>
    <w:rsid w:val="005D34CA"/>
    <w:rsid w:val="006302E7"/>
    <w:rsid w:val="00655EFB"/>
    <w:rsid w:val="007D761C"/>
    <w:rsid w:val="008273FC"/>
    <w:rsid w:val="009B7647"/>
    <w:rsid w:val="009F5CDF"/>
    <w:rsid w:val="00A5122B"/>
    <w:rsid w:val="00B521BC"/>
    <w:rsid w:val="00B6560C"/>
    <w:rsid w:val="00C54B16"/>
    <w:rsid w:val="00CE7155"/>
    <w:rsid w:val="00CF7347"/>
    <w:rsid w:val="00E30845"/>
    <w:rsid w:val="00E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BAA3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47EB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1A6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A6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A63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A6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A63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A63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A63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A63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A63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A63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A63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63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A638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A638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A63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A63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A63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A63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A63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6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A6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A6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A6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A63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A63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A638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A63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A638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A638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5047EB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7EB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5047EB"/>
  </w:style>
  <w:style w:type="paragraph" w:styleId="Stopka">
    <w:name w:val="footer"/>
    <w:basedOn w:val="Normalny"/>
    <w:link w:val="StopkaZnak"/>
    <w:uiPriority w:val="99"/>
    <w:rsid w:val="005047EB"/>
    <w:pPr>
      <w:tabs>
        <w:tab w:val="center" w:pos="4703"/>
        <w:tab w:val="right" w:pos="94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7EB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table" w:styleId="Tabela-Siatka">
    <w:name w:val="Table Grid"/>
    <w:basedOn w:val="Standardowy"/>
    <w:uiPriority w:val="59"/>
    <w:rsid w:val="005047E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5047EB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2535</Words>
  <Characters>15214</Characters>
  <Application>Microsoft Office Word</Application>
  <DocSecurity>0</DocSecurity>
  <Lines>126</Lines>
  <Paragraphs>35</Paragraphs>
  <ScaleCrop>false</ScaleCrop>
  <Company/>
  <LinksUpToDate>false</LinksUpToDate>
  <CharactersWithSpaces>17714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2026-08-20T08:38:00Z</dcterms:created>
  <dcterms:modified xsi:type="dcterms:W3CDTF">2026-08-20T08:39:00Z</dcterms:modified>
</cp:coreProperties>
</file>