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9C22A" w14:textId="63F60992" w:rsidR="00AA70D6" w:rsidRPr="00330BCB" w:rsidRDefault="00AA70D6" w:rsidP="00330BCB">
      <w:pPr>
        <w:spacing w:after="240" w:line="360" w:lineRule="auto"/>
        <w:jc w:val="center"/>
      </w:pPr>
      <w:r w:rsidRPr="00330BCB">
        <w:t>UZASADNIENIE</w:t>
      </w:r>
    </w:p>
    <w:p w14:paraId="3C4EBEBC" w14:textId="2ACCDD32" w:rsidR="00AA70D6" w:rsidRPr="00073CC8" w:rsidRDefault="00AA70D6" w:rsidP="00330BCB">
      <w:pPr>
        <w:spacing w:before="120" w:line="360" w:lineRule="auto"/>
        <w:jc w:val="both"/>
      </w:pPr>
      <w:r w:rsidRPr="00073CC8">
        <w:t>Projekt ustawy o zmianie ustawy – Prawo o ruchu drogowym oraz niektórych innych ustaw (dalej: „projekt”) wprowadza rozwiąza</w:t>
      </w:r>
      <w:r w:rsidR="00963EE8" w:rsidRPr="00073CC8">
        <w:t>nia</w:t>
      </w:r>
      <w:r w:rsidRPr="00073CC8">
        <w:t xml:space="preserve"> ukierunkowan</w:t>
      </w:r>
      <w:r w:rsidR="00963EE8" w:rsidRPr="00073CC8">
        <w:t>e</w:t>
      </w:r>
      <w:r w:rsidRPr="00073CC8">
        <w:t xml:space="preserve"> na poprawę bezpieczeństwa ruchu drogowego na przejazdach kolejowych oraz obszarach kolejowych. Projekt obejmuje zmiany w następujących aktach prawnych: ustawie z dnia 20 czerwca 1997 r. – Prawo o ruchu drogowym (dalej: „PRD”), ustawie z dnia 6 czerwca 1997 r. – Kodeks karny (dalej: „k.k.”), oraz ustawie z dnia 5 stycznia 2011 r. o kierujących pojazdami (dalej: „u.k.p.”).</w:t>
      </w:r>
    </w:p>
    <w:p w14:paraId="57244255" w14:textId="77777777" w:rsidR="00963EE8" w:rsidRPr="00073CC8" w:rsidRDefault="00AA70D6" w:rsidP="00330BCB">
      <w:pPr>
        <w:spacing w:before="120" w:line="360" w:lineRule="auto"/>
        <w:jc w:val="both"/>
      </w:pPr>
      <w:r w:rsidRPr="00073CC8">
        <w:t xml:space="preserve">Zasadniczym celem projektu jest ograniczenie liczby zdarzeń drogowych na przejazdach kolejowych poprzez: </w:t>
      </w:r>
    </w:p>
    <w:p w14:paraId="22263C5A" w14:textId="3E5C8B7A" w:rsidR="00963EE8" w:rsidRPr="00073CC8" w:rsidRDefault="00AA70D6" w:rsidP="00330BCB">
      <w:pPr>
        <w:pStyle w:val="Akapitzlist"/>
        <w:numPr>
          <w:ilvl w:val="0"/>
          <w:numId w:val="1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073CC8">
        <w:rPr>
          <w:rFonts w:ascii="Times New Roman" w:hAnsi="Times New Roman" w:cs="Times New Roman"/>
        </w:rPr>
        <w:t xml:space="preserve">wprowadzenie instrumentu natychmiastowego zatrzymania na 3 miesiące prawa jazdy za najbardziej niebezpieczne naruszenia popełnione na przejazdach kolejowych, </w:t>
      </w:r>
    </w:p>
    <w:p w14:paraId="2F6CA234" w14:textId="22B8FCC5" w:rsidR="00963EE8" w:rsidRPr="00073CC8" w:rsidRDefault="00AA70D6" w:rsidP="00330BCB">
      <w:pPr>
        <w:pStyle w:val="Akapitzlist"/>
        <w:numPr>
          <w:ilvl w:val="0"/>
          <w:numId w:val="1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073CC8">
        <w:rPr>
          <w:rFonts w:ascii="Times New Roman" w:hAnsi="Times New Roman" w:cs="Times New Roman"/>
        </w:rPr>
        <w:t>zaostrzenie sądowego środka karnego w postaci zakazu prowadzenia pojazdów w przypadku przestępstw popełnionych na przejazdach kolejowych.</w:t>
      </w:r>
    </w:p>
    <w:p w14:paraId="4F9739A2" w14:textId="47AEE4E4" w:rsidR="00AA70D6" w:rsidRPr="00073CC8" w:rsidRDefault="00AA70D6" w:rsidP="00330BCB">
      <w:pPr>
        <w:spacing w:before="120" w:line="360" w:lineRule="auto"/>
        <w:jc w:val="both"/>
      </w:pPr>
      <w:r w:rsidRPr="00073CC8">
        <w:t>Potrzeba podjęcia interwencji ustawodawczej wynika ze szczególnego charakteru ryzyka związanego z ruchem na przejazdach kolejowych. Kolizja pojazdu drogowego z pojazdem szynowym z uwagi na różnicę mas i prędkości niemal zawsze prowadzi do ciężkich skutków dla uczestników ruchu drogowego, przy jednoczesnym zagrożeniu bezpieczeństwa ruchu kolejowego (możliwość wykolejenia, uszkodzenia infrastruktury, zagrożenia dla pasażerów pociągu). Powtarzalność i typologia naruszeń popełnianych na przejazdach kolejowych (wjazd mimo opuszczających się zapór, ignorowanie sygnalizacji świetlnej, wjazd na tory bez zapewnienia możliwości opuszczenia przejazdu) wskazuje, że dotychczasowe środki prewencyjne i represyjne nie są wystarczające, co uzasadnia wprowadzenie rozwiązań o charakterze zarówno prewencyjnym (kontrola), jak i represyjnym (zatrzymanie prawa jazdy, zakaz sądowy).</w:t>
      </w:r>
    </w:p>
    <w:p w14:paraId="778AE57F" w14:textId="77777777" w:rsidR="00AA70D6" w:rsidRPr="00330BCB" w:rsidRDefault="00AA70D6" w:rsidP="00330BCB">
      <w:pPr>
        <w:pStyle w:val="Nagwek1"/>
        <w:spacing w:before="120"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30BCB">
        <w:rPr>
          <w:rFonts w:ascii="Times New Roman" w:hAnsi="Times New Roman" w:cs="Times New Roman"/>
          <w:b/>
          <w:bCs/>
          <w:color w:val="auto"/>
          <w:sz w:val="24"/>
          <w:szCs w:val="24"/>
        </w:rPr>
        <w:t>Szczegółowe omówienie i uzasadnienie prawne poszczególnych rozwiązań</w:t>
      </w:r>
    </w:p>
    <w:p w14:paraId="2FB1EE7E" w14:textId="70FED167" w:rsidR="00AA70D6" w:rsidRPr="00330BCB" w:rsidRDefault="00AA70D6" w:rsidP="00330BCB">
      <w:pPr>
        <w:pStyle w:val="Nagwek2"/>
        <w:spacing w:before="120"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30BCB">
        <w:rPr>
          <w:rFonts w:ascii="Times New Roman" w:hAnsi="Times New Roman" w:cs="Times New Roman"/>
          <w:b/>
          <w:bCs/>
          <w:color w:val="auto"/>
          <w:sz w:val="24"/>
          <w:szCs w:val="24"/>
        </w:rPr>
        <w:t>Natychmiastowe zatrzymanie prawa jazdy</w:t>
      </w:r>
      <w:r w:rsidR="00963EE8" w:rsidRPr="00330BC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na 3 miesiące</w:t>
      </w:r>
      <w:r w:rsidRPr="00330BCB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za pokwitowaniem </w:t>
      </w:r>
    </w:p>
    <w:p w14:paraId="58171D9B" w14:textId="77777777" w:rsidR="00AA70D6" w:rsidRPr="00073CC8" w:rsidRDefault="00AA70D6" w:rsidP="00330BCB">
      <w:pPr>
        <w:spacing w:before="120" w:line="360" w:lineRule="auto"/>
        <w:jc w:val="both"/>
      </w:pPr>
      <w:r w:rsidRPr="00073CC8">
        <w:t xml:space="preserve">Projekt wprowadza do art. 135 ust. 1 pkt 2 oraz art. 135a ust. 1 pkt 2 PRD dwie nowe przesłanki zatrzymania prawa jazdy za pokwitowaniem w trybie administracyjnym, tj.: (a) objeżdżanie opuszczonych zapór lub półzapór, wjazd na przejazd w trakcie ich opuszczania lub przed zakończeniem podnoszenia, a także wjazd za sygnalizator przy sygnale czerwonym, czerwonym migającym lub dwóch na przemian migających sygnałach czerwonych, oraz (b) </w:t>
      </w:r>
      <w:r w:rsidRPr="00073CC8">
        <w:lastRenderedPageBreak/>
        <w:t>wjazd na przejazd kolejowy w sytuacji, gdy po jego drugiej stronie nie ma miejsca do kontynuowania jazdy.</w:t>
      </w:r>
    </w:p>
    <w:p w14:paraId="09D7A83E" w14:textId="77777777" w:rsidR="00AA70D6" w:rsidRPr="00073CC8" w:rsidRDefault="00AA70D6" w:rsidP="00330BCB">
      <w:pPr>
        <w:spacing w:before="120" w:line="360" w:lineRule="auto"/>
        <w:jc w:val="both"/>
      </w:pPr>
      <w:r w:rsidRPr="00073CC8">
        <w:t>Uzasadnieniem dla wyodrębnienia tych zachowań jako samodzielnych przesłanek zatrzymania prawa jazdy jest ich wysoki stopień społecznej szkodliwości oraz bezpośredniość zagrożenia, jakie stwarzają dla życia i zdrowia uczestników ruchu oraz bezpieczeństwa ruchu kolejowego. Zachowania te charakteryzują się świadomym i celowym naruszeniem zakazu, a nie jedynie nieuwagą, co uzasadnia zastosowanie środka o charakterze natychmiastowym, prewencyjnym, eliminującego kierowcę z ruchu drogowego bezpośrednio po stwierdzeniu naruszenia, niezależnie od dalszego postępowania w sprawie o wykroczenie lub przestępstwo.</w:t>
      </w:r>
    </w:p>
    <w:p w14:paraId="315DF956" w14:textId="77777777" w:rsidR="00AA70D6" w:rsidRPr="00073CC8" w:rsidRDefault="00AA70D6" w:rsidP="00330BCB">
      <w:pPr>
        <w:spacing w:before="120" w:line="360" w:lineRule="auto"/>
        <w:jc w:val="both"/>
      </w:pPr>
      <w:r w:rsidRPr="00073CC8">
        <w:t>Konstrukcja ta jest spójna z obowiązującym już mechanizmem przewidzianym w art. 135 ust. 1 pkt 2 PRD dla innych szczególnie niebezpiecznych naruszeń (np. przekroczenie dopuszczalnej prędkości o więcej niż 50 km/h w obszarze zabudowanym i poza obszarem zabudowanym na drogach jednojezdniowych dwukierunkowych, przewożenie osób w liczbie przekraczającej liczbę miejsc). Rozszerzenie katalogu o naruszenia popełniane na przejazdach kolejowych stanowi zatem kontynuację przyjętej już w systemie prawa metody regulacyjnej, a nie wprowadzenie nowej instytucji prawnej, co przemawia za jej zgodnością z zasadą spójności systemu prawa.</w:t>
      </w:r>
    </w:p>
    <w:p w14:paraId="7D333586" w14:textId="07C7D238" w:rsidR="00AA70D6" w:rsidRPr="00073CC8" w:rsidRDefault="00AA70D6" w:rsidP="00330BCB">
      <w:pPr>
        <w:spacing w:before="120" w:line="360" w:lineRule="auto"/>
        <w:jc w:val="both"/>
      </w:pPr>
      <w:r w:rsidRPr="00073CC8">
        <w:t xml:space="preserve">W </w:t>
      </w:r>
      <w:r w:rsidR="00AB74FA">
        <w:t xml:space="preserve"> </w:t>
      </w:r>
      <w:r w:rsidR="00AB74FA" w:rsidRPr="00073CC8">
        <w:t>u.k.p.</w:t>
      </w:r>
      <w:r w:rsidR="00AB74FA">
        <w:t xml:space="preserve"> </w:t>
      </w:r>
      <w:r w:rsidRPr="00073CC8">
        <w:t>projekt wprowadza w art. 102 ust. 1 nowe pkt 10 i 11, powielające materialnoprawnie przesłanki określone w znowelizowanym art. 135 PRD, co stanowi niezbędne uzupełnienie mechanizmu: zatrzymanie dokumentu prawa jazdy za pokwitowaniem na podstawie PRD inicjuje – zgodnie z systematyką u.k.p. – postępowanie administracyjne przed starostą, który na podstawie art. 102 ust. 1 wydaje decyzję o zatrzymaniu prawa jazdy w drodze decyzji administracyjnej na okres 3 miesięcy. Okres ten wynika wprost z ogólnej reguły przewidzianej w art. 102 ust. 1 u.k.p. dla przesłanek w nim wymienionych i nie wymaga odrębnego uregulowania w projekcie – konsekwentne rozszerzenie katalogu przesłanek na nowe punkty 10 i 11 powoduje automatyczne objęcie ich tym samym, jednolitym okresem zatrzymania, co zapewnia równe traktowanie sprawców porównywalnych naruszeń i nie wymaga tworzenia odrębnej, zróżnicowanej procedury.</w:t>
      </w:r>
    </w:p>
    <w:p w14:paraId="30995B5A" w14:textId="3B9E73DB" w:rsidR="00AA70D6" w:rsidRPr="00073CC8" w:rsidRDefault="00AA70D6" w:rsidP="00330BCB">
      <w:pPr>
        <w:spacing w:before="120" w:line="360" w:lineRule="auto"/>
        <w:jc w:val="both"/>
      </w:pPr>
      <w:r w:rsidRPr="00073CC8">
        <w:t>Zmiany w art. 103 ust. 1 pkt 1 (dodanie lit. e), art. 103 ust. 1 pkt 5 i ust. 1a</w:t>
      </w:r>
      <w:r w:rsidR="00AB74FA">
        <w:t xml:space="preserve"> </w:t>
      </w:r>
      <w:r w:rsidRPr="00073CC8">
        <w:t xml:space="preserve">oraz art. 104a ust. 1 pkt 2 u.k.p. mają charakter dostosowujący (odesłania do nowych </w:t>
      </w:r>
      <w:r w:rsidR="00AB74FA">
        <w:t>pkt</w:t>
      </w:r>
      <w:r w:rsidR="00AB74FA" w:rsidRPr="00073CC8">
        <w:t xml:space="preserve"> </w:t>
      </w:r>
      <w:r w:rsidRPr="00073CC8">
        <w:t>10 i 11 w art. 102 ust. 1) i są niezbędne dla zachowania spójności regulacji dotyczącej:</w:t>
      </w:r>
      <w:r w:rsidR="00102044" w:rsidRPr="00073CC8">
        <w:t xml:space="preserve"> </w:t>
      </w:r>
      <w:r w:rsidRPr="00073CC8">
        <w:t>cofnięcia uprawnień w razie ponownego popełnienia naruszenia w okresie zatrzymania (art. 103 ust. 1 i 1a) oraz wydania nowego prawa jazdy po ustaniu przyczyn zatrzymania (art. 104a).</w:t>
      </w:r>
    </w:p>
    <w:p w14:paraId="06526756" w14:textId="77777777" w:rsidR="00AA70D6" w:rsidRPr="00330BCB" w:rsidRDefault="00AA70D6" w:rsidP="00330BCB">
      <w:pPr>
        <w:pStyle w:val="Nagwek2"/>
        <w:spacing w:before="120" w:after="0" w:line="36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30BCB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 xml:space="preserve">Obligatoryjny sądowy zakaz prowadzenia pojazdów </w:t>
      </w:r>
    </w:p>
    <w:p w14:paraId="22530757" w14:textId="568A6593" w:rsidR="00AA70D6" w:rsidRPr="00073CC8" w:rsidRDefault="00AA70D6" w:rsidP="00330BCB">
      <w:pPr>
        <w:spacing w:before="120" w:line="360" w:lineRule="auto"/>
        <w:jc w:val="both"/>
      </w:pPr>
      <w:r w:rsidRPr="00073CC8">
        <w:t>Projekt dodaje do art. 42 k.k. § 1b i § 1c, przekształcając środek karny w postaci zakazu prowadzenia pojazdów z fakultatywnego (na zasadach ogólnych określonych w art. 42 § 1 k.k.) w obligatoryjny w przypadku skazania za przestępstwa z art. 173 k.k. (katastrofa w komunikacji)</w:t>
      </w:r>
      <w:r w:rsidR="00102044" w:rsidRPr="00073CC8">
        <w:t xml:space="preserve">, w tym </w:t>
      </w:r>
      <w:r w:rsidRPr="00073CC8">
        <w:t>popełnione na przejeździe kolejowym, z określeniem minimalnego okresu zakazu na 3 lata (§ 1b), oraz za przestępstwo z art. 174 k.k. (sprowadzenie bezpośredniego niebezpieczeństwa katastrofy), z minimalnym okresem zakazu wynoszącym rok (§ 1c).</w:t>
      </w:r>
    </w:p>
    <w:p w14:paraId="664D57D0" w14:textId="15AA7ABE" w:rsidR="00AA70D6" w:rsidRPr="00073CC8" w:rsidRDefault="00AA70D6" w:rsidP="00330BCB">
      <w:pPr>
        <w:spacing w:before="120" w:line="360" w:lineRule="auto"/>
        <w:jc w:val="both"/>
      </w:pPr>
      <w:r w:rsidRPr="00073CC8">
        <w:t>Zróżnicowanie minimalnego okresu zakazu (3 lata w § 1b wobec 1 roku w § 1c) odzwierciedla różnicę w stopniu społecznej szkodliwości czynów: art. 173 penalizują spowodowanie skutku w postaci katastrofy, podczas gdy art. 174 k.k. penalizuje sprowadzenie samego zagrożenia (przestępstwo formalne, tzw. z narażenia), bez wymogu zaistnienia skutku. Zachowanie proporcji między surowością środka karnego a stopniem winy i szkodliwości czynu jest wymogiem wynikającym z art. 53 § 1 k.k. oraz z konstytucyjnej zasady proporcjonalności (art. 31 ust. 3 Konstytucji RP), którą projektodawca uwzględnił, różnicując minimalne okresy zakazu.</w:t>
      </w:r>
    </w:p>
    <w:p w14:paraId="402EC425" w14:textId="18EB557C" w:rsidR="00AA70D6" w:rsidRPr="00073CC8" w:rsidRDefault="00AA70D6" w:rsidP="00330BCB">
      <w:pPr>
        <w:spacing w:before="120" w:line="360" w:lineRule="auto"/>
        <w:jc w:val="both"/>
      </w:pPr>
      <w:r w:rsidRPr="00073CC8">
        <w:t xml:space="preserve">Wprowadzenie obligatoryjności środka karnego w miejsce fakultatywności jest rozwiązaniem znanym systemowi prawa karnego (por. art. 42 § 2 i </w:t>
      </w:r>
      <w:r w:rsidR="001134D9">
        <w:t>§</w:t>
      </w:r>
      <w:r w:rsidR="001134D9">
        <w:t xml:space="preserve"> </w:t>
      </w:r>
      <w:r w:rsidRPr="00073CC8">
        <w:t>3 k.k., przewidujące obligatoryjny zakaz prowadzenia pojazdów m.in. w razie skazania za przestępstwo przeciwko bezpieczeństwu w komunikacji popełnione w stanie nietrzeźwości) i mieści się w granicach swobody ustawodawcy w kształtowaniu polityki karnej, o ile nie prowadzi do rażącej niewspółmierności kary do czynu w konkretnych przypadkach – czemu zapobiega pozostawienie sądowi swobody w określeniu okresu zakazu powyżej ustawowego minimum oraz zachowanie możliwości indywidualizacji wymiaru pozostałych elementów kary.</w:t>
      </w:r>
    </w:p>
    <w:p w14:paraId="5AD9B203" w14:textId="78172891" w:rsidR="00AA70D6" w:rsidRPr="00073CC8" w:rsidRDefault="00AA70D6" w:rsidP="00330BCB">
      <w:pPr>
        <w:spacing w:before="120" w:line="360" w:lineRule="auto"/>
        <w:jc w:val="both"/>
      </w:pPr>
      <w:r w:rsidRPr="00073CC8">
        <w:t>Projekt oddziałuje przede wszystkim na kierowców naruszających przepisy ruchu drogowego na przejazdach kolejowych – oczekiwanym efektem jest zmiana zachowań uczestników ruchu oraz dotkliwości i nieuchronności konsekwencji (natychmiastowe zatrzymanie prawa jazdy, obligatoryjny zakaz sądowy).</w:t>
      </w:r>
    </w:p>
    <w:p w14:paraId="3E96DA6A" w14:textId="77F196E7" w:rsidR="00963EE8" w:rsidRPr="00073CC8" w:rsidRDefault="00AA70D6" w:rsidP="00330BCB">
      <w:pPr>
        <w:spacing w:before="120" w:line="360" w:lineRule="auto"/>
        <w:jc w:val="both"/>
      </w:pPr>
      <w:r w:rsidRPr="00073CC8">
        <w:t>Dla jednostek samorządu terytorialnego (starostw) projekt wiąże się z dodatkowymi zadaniami administracyjnymi związanymi z wydawaniem decyzji o zatrzymaniu prawa jazdy</w:t>
      </w:r>
      <w:r w:rsidR="00963EE8" w:rsidRPr="00073CC8">
        <w:t xml:space="preserve">. </w:t>
      </w:r>
      <w:r w:rsidRPr="00073CC8">
        <w:t xml:space="preserve">Dla podmiotu zarządzającego infrastrukturą kolejową oraz przewoźników kolejowych oczekiwanym efektem jest ograniczenie liczby zdarzeń na przejazdach kolejowych, co przekłada się na zmniejszenie ryzyka zakłóceń ruchu kolejowego, kosztów usuwania skutków </w:t>
      </w:r>
      <w:r w:rsidRPr="00073CC8">
        <w:lastRenderedPageBreak/>
        <w:t>zdarzeń oraz ryzyka dla bezpieczeństwa pasażerów i pracowników kolei.</w:t>
      </w:r>
      <w:r w:rsidR="00963EE8" w:rsidRPr="00073CC8">
        <w:t xml:space="preserve"> </w:t>
      </w:r>
      <w:r w:rsidR="00963EE8" w:rsidRPr="00073CC8">
        <w:rPr>
          <w:bCs/>
        </w:rPr>
        <w:t>Projekt nie wywiera wpływu na działalność mikroprzedsiębiorców oraz małych i średnich przedsiębiorców.</w:t>
      </w:r>
    </w:p>
    <w:p w14:paraId="6031F0E2" w14:textId="77777777" w:rsidR="00963EE8" w:rsidRPr="00073CC8" w:rsidRDefault="00963EE8" w:rsidP="00330BCB">
      <w:pPr>
        <w:spacing w:before="120" w:line="360" w:lineRule="auto"/>
        <w:jc w:val="both"/>
        <w:rPr>
          <w:bCs/>
        </w:rPr>
      </w:pPr>
      <w:r w:rsidRPr="00073CC8">
        <w:rPr>
          <w:bCs/>
        </w:rPr>
        <w:t>Projektowana ustawa nie zawiera norm technicznych, w związku z czym nie podlega procedurze notyfikacji, zgodnie z trybem określonym w przepisach rozporządzenia Rady Ministrów z dnia 23 grudnia 2002 r. w sprawie sposobu funkcjonowania krajowego systemu notyfikacji norm i aktów prawnych (Dz. U. poz. 2039, z późn. zm.).</w:t>
      </w:r>
    </w:p>
    <w:p w14:paraId="125AA159" w14:textId="0A370785" w:rsidR="00963EE8" w:rsidRPr="00073CC8" w:rsidRDefault="00963EE8" w:rsidP="00330BCB">
      <w:pPr>
        <w:spacing w:before="120" w:line="360" w:lineRule="auto"/>
        <w:jc w:val="both"/>
      </w:pPr>
      <w:r w:rsidRPr="00073CC8">
        <w:t>Projekt ustawy jest zgodny z prawem Unii Europejskiej.</w:t>
      </w:r>
    </w:p>
    <w:p w14:paraId="0DA5EA83" w14:textId="5DD3BBD7" w:rsidR="00FE5ED7" w:rsidRPr="00073CC8" w:rsidRDefault="00AA70D6" w:rsidP="00330BCB">
      <w:pPr>
        <w:spacing w:before="120" w:line="360" w:lineRule="auto"/>
        <w:jc w:val="both"/>
      </w:pPr>
      <w:r w:rsidRPr="00073CC8">
        <w:t xml:space="preserve">Projekt przewiduje 14-dniowy okres </w:t>
      </w:r>
      <w:r w:rsidRPr="00073CC8">
        <w:rPr>
          <w:i/>
          <w:iCs/>
        </w:rPr>
        <w:t>vacatio legis</w:t>
      </w:r>
      <w:r w:rsidRPr="00073CC8">
        <w:t xml:space="preserve">, liczony od dnia ogłoszenia ustawy. </w:t>
      </w:r>
    </w:p>
    <w:sectPr w:rsidR="00FE5ED7" w:rsidRPr="00073CC8" w:rsidSect="00073CC8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93E40" w14:textId="77777777" w:rsidR="00C56815" w:rsidRDefault="00C56815" w:rsidP="00963EE8">
      <w:r>
        <w:separator/>
      </w:r>
    </w:p>
  </w:endnote>
  <w:endnote w:type="continuationSeparator" w:id="0">
    <w:p w14:paraId="35EE212C" w14:textId="77777777" w:rsidR="00C56815" w:rsidRDefault="00C56815" w:rsidP="00963E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6876670"/>
      <w:docPartObj>
        <w:docPartGallery w:val="Page Numbers (Bottom of Page)"/>
        <w:docPartUnique/>
      </w:docPartObj>
    </w:sdtPr>
    <w:sdtEndPr/>
    <w:sdtContent>
      <w:p w14:paraId="473E29CF" w14:textId="11A45D59" w:rsidR="00963EE8" w:rsidRDefault="00963EE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E68574" w14:textId="77777777" w:rsidR="00963EE8" w:rsidRDefault="00963E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C73F6" w14:textId="77777777" w:rsidR="00C56815" w:rsidRDefault="00C56815" w:rsidP="00963EE8">
      <w:r>
        <w:separator/>
      </w:r>
    </w:p>
  </w:footnote>
  <w:footnote w:type="continuationSeparator" w:id="0">
    <w:p w14:paraId="17A91B09" w14:textId="77777777" w:rsidR="00C56815" w:rsidRDefault="00C56815" w:rsidP="00963E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551107"/>
    <w:multiLevelType w:val="hybridMultilevel"/>
    <w:tmpl w:val="CE787D50"/>
    <w:lvl w:ilvl="0" w:tplc="62445B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0D6"/>
    <w:rsid w:val="00073CC8"/>
    <w:rsid w:val="00102044"/>
    <w:rsid w:val="001134D9"/>
    <w:rsid w:val="001175E1"/>
    <w:rsid w:val="001E6986"/>
    <w:rsid w:val="002E3EA4"/>
    <w:rsid w:val="00330BCB"/>
    <w:rsid w:val="00332216"/>
    <w:rsid w:val="00387717"/>
    <w:rsid w:val="004C2DEF"/>
    <w:rsid w:val="005A4E75"/>
    <w:rsid w:val="006848D7"/>
    <w:rsid w:val="006B7723"/>
    <w:rsid w:val="007D2EA9"/>
    <w:rsid w:val="007F1230"/>
    <w:rsid w:val="00963EE8"/>
    <w:rsid w:val="009B5ED6"/>
    <w:rsid w:val="00AA70D6"/>
    <w:rsid w:val="00AB74FA"/>
    <w:rsid w:val="00B61599"/>
    <w:rsid w:val="00BB6DE0"/>
    <w:rsid w:val="00C56815"/>
    <w:rsid w:val="00DE6255"/>
    <w:rsid w:val="00DF23FD"/>
    <w:rsid w:val="00DF3BC7"/>
    <w:rsid w:val="00E02A0B"/>
    <w:rsid w:val="00E52130"/>
    <w:rsid w:val="00E87A3A"/>
    <w:rsid w:val="00ED3ABF"/>
    <w:rsid w:val="00F57880"/>
    <w:rsid w:val="00FE5ED7"/>
    <w:rsid w:val="00FF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684B9"/>
  <w15:chartTrackingRefBased/>
  <w15:docId w15:val="{6538FBA2-E0C3-4E4E-8831-A610916CD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70D6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A70D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A70D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A70D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70D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70D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70D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70D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70D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70D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7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A7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A7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A70D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A70D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A70D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A70D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A70D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A70D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A70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A7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70D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A7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70D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A70D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A70D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A70D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7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A70D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A70D6"/>
    <w:rPr>
      <w:b/>
      <w:bCs/>
      <w:smallCaps/>
      <w:color w:val="0F4761" w:themeColor="accent1" w:themeShade="BF"/>
      <w:spacing w:val="5"/>
    </w:rPr>
  </w:style>
  <w:style w:type="paragraph" w:customStyle="1" w:styleId="OZNPROJEKTUwskazaniedatylubwersjiprojektu">
    <w:name w:val="OZN_PROJEKTU – wskazanie daty lub wersji projektu"/>
    <w:next w:val="Normalny"/>
    <w:uiPriority w:val="5"/>
    <w:qFormat/>
    <w:rsid w:val="00AA70D6"/>
    <w:pPr>
      <w:spacing w:after="0" w:line="360" w:lineRule="auto"/>
      <w:jc w:val="right"/>
    </w:pPr>
    <w:rPr>
      <w:rFonts w:ascii="Times New Roman" w:eastAsiaTheme="minorEastAsia" w:hAnsi="Times New Roman" w:cs="Arial"/>
      <w:kern w:val="0"/>
      <w:szCs w:val="20"/>
      <w:u w:val="single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963E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EE8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63E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EE8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Poprawka">
    <w:name w:val="Revision"/>
    <w:hidden/>
    <w:uiPriority w:val="99"/>
    <w:semiHidden/>
    <w:rsid w:val="00073CC8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1184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 Anna</dc:creator>
  <cp:keywords/>
  <dc:description/>
  <cp:lastModifiedBy>Autor</cp:lastModifiedBy>
  <cp:revision>4</cp:revision>
  <dcterms:created xsi:type="dcterms:W3CDTF">2026-09-15T05:35:00Z</dcterms:created>
  <dcterms:modified xsi:type="dcterms:W3CDTF">2026-09-15T06:27:00Z</dcterms:modified>
</cp:coreProperties>
</file>